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B2" w:rsidRPr="00522FB2" w:rsidRDefault="00522FB2" w:rsidP="00522FB2">
      <w:pPr>
        <w:pStyle w:val="Nessunaspaziatura"/>
        <w:jc w:val="both"/>
        <w:rPr>
          <w:rFonts w:ascii="Garamond" w:hAnsi="Garamond"/>
          <w:sz w:val="36"/>
          <w:szCs w:val="36"/>
        </w:rPr>
      </w:pPr>
      <w:r w:rsidRPr="00522FB2">
        <w:rPr>
          <w:rFonts w:ascii="Garamond" w:hAnsi="Garamond"/>
          <w:sz w:val="36"/>
          <w:szCs w:val="36"/>
        </w:rPr>
        <w:t>L’art</w:t>
      </w:r>
      <w:r>
        <w:rPr>
          <w:rFonts w:ascii="Garamond" w:hAnsi="Garamond"/>
          <w:sz w:val="36"/>
          <w:szCs w:val="36"/>
        </w:rPr>
        <w:t>.</w:t>
      </w:r>
      <w:r w:rsidRPr="00522FB2">
        <w:rPr>
          <w:rFonts w:ascii="Garamond" w:hAnsi="Garamond"/>
          <w:sz w:val="36"/>
          <w:szCs w:val="36"/>
        </w:rPr>
        <w:t xml:space="preserve"> 15</w:t>
      </w:r>
      <w:r w:rsidRPr="00522FB2">
        <w:rPr>
          <w:rFonts w:ascii="Garamond" w:hAnsi="Garamond"/>
          <w:sz w:val="36"/>
          <w:szCs w:val="36"/>
        </w:rPr>
        <w:t>, comma 2, della legge n. 400 del 1988, stabilisce particolari limitazioni al decreto-legge; il comma 3 indica le caratteristiche del contenuto del decreto legge.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sz w:val="36"/>
          <w:szCs w:val="36"/>
        </w:rPr>
      </w:pP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sz w:val="36"/>
          <w:szCs w:val="36"/>
        </w:rPr>
      </w:pPr>
      <w:r w:rsidRPr="00522FB2">
        <w:rPr>
          <w:rFonts w:ascii="Garamond" w:hAnsi="Garamond"/>
          <w:sz w:val="36"/>
          <w:szCs w:val="36"/>
        </w:rPr>
        <w:t>Di seguito si riporta il testo delle due disposizioni: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sz w:val="36"/>
          <w:szCs w:val="36"/>
        </w:rPr>
      </w:pP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>2. Il Governo non pu</w:t>
      </w:r>
      <w:r w:rsidRPr="00522FB2">
        <w:rPr>
          <w:rFonts w:ascii="Garamond" w:hAnsi="Garamond"/>
          <w:i/>
          <w:sz w:val="36"/>
          <w:szCs w:val="36"/>
        </w:rPr>
        <w:t>ò</w:t>
      </w:r>
      <w:r w:rsidRPr="00522FB2">
        <w:rPr>
          <w:rFonts w:ascii="Garamond" w:hAnsi="Garamond"/>
          <w:i/>
          <w:sz w:val="36"/>
          <w:szCs w:val="36"/>
        </w:rPr>
        <w:t xml:space="preserve">, mediante decreto-legge: 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a) conferire deleghe legislative ai sensi dell'articolo 76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della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Costituzione; 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b) provvedere nelle materie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indicate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nell'articolo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72,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quarto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comma, della Costituzione; 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c) rinnovare le disposizioni di </w:t>
      </w:r>
      <w:proofErr w:type="spellStart"/>
      <w:r w:rsidRPr="00522FB2">
        <w:rPr>
          <w:rFonts w:ascii="Garamond" w:hAnsi="Garamond"/>
          <w:i/>
          <w:sz w:val="36"/>
          <w:szCs w:val="36"/>
        </w:rPr>
        <w:t>decreti-legge</w:t>
      </w:r>
      <w:proofErr w:type="spellEnd"/>
      <w:r w:rsidRPr="00522FB2">
        <w:rPr>
          <w:rFonts w:ascii="Garamond" w:hAnsi="Garamond"/>
          <w:i/>
          <w:sz w:val="36"/>
          <w:szCs w:val="36"/>
        </w:rPr>
        <w:t xml:space="preserve"> dei quali sia stata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negata la conversione in legge con il voto di una delle due Camere; 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d) regolare i rapporti giuridici sorti sulla base dei decreti non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convertiti; 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e)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ripristinare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l'efficacia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di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disposizioni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dichiarate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illegittime dalla Corte costituzionale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per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vizi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non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attinenti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al</w:t>
      </w:r>
      <w:r w:rsidRPr="00522FB2">
        <w:rPr>
          <w:rFonts w:ascii="Garamond" w:hAnsi="Garamond"/>
          <w:i/>
          <w:sz w:val="36"/>
          <w:szCs w:val="36"/>
        </w:rPr>
        <w:t xml:space="preserve"> procedimento.</w:t>
      </w: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</w:p>
    <w:p w:rsid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3. I decreti devono contenere misure di immediata applicazione e il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loro contenuto deve essere specifico, omogeneo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corrispondente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>al</w:t>
      </w:r>
      <w:r w:rsidRPr="00522FB2">
        <w:rPr>
          <w:rFonts w:ascii="Garamond" w:hAnsi="Garamond"/>
          <w:i/>
          <w:sz w:val="36"/>
          <w:szCs w:val="36"/>
        </w:rPr>
        <w:t xml:space="preserve"> </w:t>
      </w:r>
      <w:r w:rsidRPr="00522FB2">
        <w:rPr>
          <w:rFonts w:ascii="Garamond" w:hAnsi="Garamond"/>
          <w:i/>
          <w:sz w:val="36"/>
          <w:szCs w:val="36"/>
        </w:rPr>
        <w:t xml:space="preserve">titolo. </w:t>
      </w:r>
    </w:p>
    <w:p w:rsidR="00522FB2" w:rsidRDefault="00522FB2" w:rsidP="00522FB2">
      <w:pPr>
        <w:pStyle w:val="Nessunaspaziatura"/>
        <w:jc w:val="both"/>
        <w:rPr>
          <w:rFonts w:ascii="Garamond" w:hAnsi="Garamond"/>
          <w:i/>
          <w:sz w:val="36"/>
          <w:szCs w:val="36"/>
        </w:rPr>
      </w:pPr>
    </w:p>
    <w:p w:rsidR="00522FB2" w:rsidRPr="00522FB2" w:rsidRDefault="00522FB2" w:rsidP="00522FB2">
      <w:pPr>
        <w:pStyle w:val="Nessunaspaziatura"/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Tali disposizioni condizionano la validità del decreto-legge? Sono in grado di imporsi all’osservanza del Governo?</w:t>
      </w:r>
      <w:bookmarkStart w:id="0" w:name="_GoBack"/>
      <w:bookmarkEnd w:id="0"/>
      <w:r>
        <w:rPr>
          <w:rFonts w:ascii="Garamond" w:hAnsi="Garamond"/>
          <w:sz w:val="36"/>
          <w:szCs w:val="36"/>
        </w:rPr>
        <w:t xml:space="preserve"> </w:t>
      </w:r>
    </w:p>
    <w:sectPr w:rsidR="00522FB2" w:rsidRPr="00522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0C"/>
    <w:rsid w:val="00020131"/>
    <w:rsid w:val="00522FB2"/>
    <w:rsid w:val="007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1CFE"/>
  <w15:chartTrackingRefBased/>
  <w15:docId w15:val="{C4E6B85B-BB06-4A8E-A626-E8CC635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22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corvaja</dc:creator>
  <cp:keywords/>
  <dc:description/>
  <cp:lastModifiedBy>corvaja</cp:lastModifiedBy>
  <cp:revision>2</cp:revision>
  <dcterms:created xsi:type="dcterms:W3CDTF">2022-11-15T14:29:00Z</dcterms:created>
  <dcterms:modified xsi:type="dcterms:W3CDTF">2022-11-15T14:29:00Z</dcterms:modified>
</cp:coreProperties>
</file>