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5528" w14:textId="77777777" w:rsidR="000A2E56" w:rsidRDefault="000A2E56" w:rsidP="000A2E56">
      <w:pPr>
        <w:jc w:val="center"/>
        <w:rPr>
          <w:b/>
        </w:rPr>
      </w:pPr>
      <w:r>
        <w:rPr>
          <w:b/>
        </w:rPr>
        <w:t>SSPL – Primo anno</w:t>
      </w:r>
    </w:p>
    <w:p w14:paraId="2D889DDF" w14:textId="77777777" w:rsidR="000A2E56" w:rsidRDefault="000A2E56" w:rsidP="000A2E56">
      <w:pPr>
        <w:jc w:val="center"/>
        <w:rPr>
          <w:b/>
        </w:rPr>
      </w:pPr>
    </w:p>
    <w:p w14:paraId="6D1D52A5" w14:textId="77777777" w:rsidR="000A2E56" w:rsidRPr="000A2E56" w:rsidRDefault="000A2E56" w:rsidP="000A2E56">
      <w:pPr>
        <w:jc w:val="center"/>
        <w:rPr>
          <w:b/>
        </w:rPr>
      </w:pPr>
      <w:r w:rsidRPr="000A2E56">
        <w:rPr>
          <w:b/>
        </w:rPr>
        <w:t>Diritto UE</w:t>
      </w:r>
    </w:p>
    <w:p w14:paraId="18F86D98" w14:textId="77777777" w:rsidR="000A2E56" w:rsidRDefault="000A2E56" w:rsidP="000A2E56">
      <w:pPr>
        <w:jc w:val="center"/>
        <w:rPr>
          <w:b/>
        </w:rPr>
      </w:pPr>
      <w:r w:rsidRPr="000A2E56">
        <w:rPr>
          <w:b/>
        </w:rPr>
        <w:t>Prof. B. Cortese</w:t>
      </w:r>
    </w:p>
    <w:p w14:paraId="0D911832" w14:textId="77777777" w:rsidR="000A2E56" w:rsidRPr="000A2E56" w:rsidRDefault="000A2E56" w:rsidP="000A2E56">
      <w:pPr>
        <w:jc w:val="center"/>
        <w:rPr>
          <w:b/>
        </w:rPr>
      </w:pPr>
    </w:p>
    <w:p w14:paraId="1259DD94" w14:textId="77777777" w:rsidR="000A2E56" w:rsidRPr="000A2E56" w:rsidRDefault="000A2E56" w:rsidP="000A2E56">
      <w:pPr>
        <w:jc w:val="center"/>
        <w:rPr>
          <w:b/>
        </w:rPr>
      </w:pPr>
      <w:r w:rsidRPr="000A2E56">
        <w:rPr>
          <w:b/>
        </w:rPr>
        <w:t>Il sistema dei rimedi – I ricorsi diretti</w:t>
      </w:r>
    </w:p>
    <w:p w14:paraId="1C963F13" w14:textId="77777777" w:rsidR="000A2E56" w:rsidRPr="000A2E56" w:rsidRDefault="000A2E56" w:rsidP="000A2E56">
      <w:pPr>
        <w:jc w:val="center"/>
        <w:rPr>
          <w:b/>
        </w:rPr>
      </w:pPr>
    </w:p>
    <w:p w14:paraId="4AFE7A3E" w14:textId="77777777" w:rsidR="00616A4D" w:rsidRPr="000A2E56" w:rsidRDefault="000A2E56" w:rsidP="000A2E56">
      <w:pPr>
        <w:jc w:val="center"/>
        <w:rPr>
          <w:b/>
        </w:rPr>
      </w:pPr>
      <w:r w:rsidRPr="000A2E56">
        <w:rPr>
          <w:b/>
        </w:rPr>
        <w:t>Materiali giurisprudenziali da discutere (5 dicembre 2013</w:t>
      </w:r>
      <w:proofErr w:type="gramStart"/>
      <w:r w:rsidRPr="000A2E56">
        <w:rPr>
          <w:b/>
        </w:rPr>
        <w:t>)</w:t>
      </w:r>
      <w:proofErr w:type="gramEnd"/>
    </w:p>
    <w:p w14:paraId="1FA47B29" w14:textId="77777777" w:rsidR="000A2E56" w:rsidRDefault="000A2E56"/>
    <w:p w14:paraId="0415972F" w14:textId="77777777" w:rsidR="00363B7C" w:rsidRPr="00363B7C" w:rsidRDefault="00363B7C">
      <w:pPr>
        <w:rPr>
          <w:b/>
          <w:i/>
        </w:rPr>
      </w:pPr>
      <w:proofErr w:type="gramStart"/>
      <w:r w:rsidRPr="00363B7C">
        <w:rPr>
          <w:b/>
          <w:i/>
        </w:rPr>
        <w:t>Carenza</w:t>
      </w:r>
      <w:proofErr w:type="gramEnd"/>
      <w:r w:rsidRPr="00363B7C">
        <w:rPr>
          <w:b/>
          <w:i/>
        </w:rPr>
        <w:t>, tutela cautelare, responsabilità</w:t>
      </w:r>
    </w:p>
    <w:p w14:paraId="4B559DE5" w14:textId="77777777" w:rsidR="00784F2D" w:rsidRDefault="00784F2D"/>
    <w:p w14:paraId="2E974065" w14:textId="77777777" w:rsidR="00784F2D" w:rsidRDefault="00784F2D">
      <w:r>
        <w:t xml:space="preserve">Sentenza </w:t>
      </w:r>
      <w:r w:rsidRPr="00784F2D">
        <w:t xml:space="preserve">26 novembre </w:t>
      </w:r>
      <w:proofErr w:type="gramStart"/>
      <w:r w:rsidRPr="00784F2D">
        <w:t>1996</w:t>
      </w:r>
      <w:r>
        <w:t>,</w:t>
      </w:r>
      <w:proofErr w:type="gramEnd"/>
      <w:r>
        <w:t xml:space="preserve"> causa C-68/95, T. Port</w:t>
      </w:r>
    </w:p>
    <w:p w14:paraId="7B8E333C" w14:textId="77777777" w:rsidR="00784F2D" w:rsidRDefault="00784F2D">
      <w:hyperlink r:id="rId5" w:history="1">
        <w:r w:rsidRPr="000701CF">
          <w:rPr>
            <w:rStyle w:val="Hyperlink"/>
          </w:rPr>
          <w:t>http://eur-lex.europa.eu/LexUriServ/LexUriServ.do?uri=CELEX:61995CJ0068:IT:HTML</w:t>
        </w:r>
      </w:hyperlink>
    </w:p>
    <w:p w14:paraId="19508F1E" w14:textId="77777777" w:rsidR="00784F2D" w:rsidRDefault="00784F2D">
      <w:proofErr w:type="gramStart"/>
      <w:r>
        <w:t>tutela</w:t>
      </w:r>
      <w:proofErr w:type="gramEnd"/>
      <w:r>
        <w:t xml:space="preserve"> contro la carenza</w:t>
      </w:r>
    </w:p>
    <w:p w14:paraId="428F315D" w14:textId="77777777" w:rsidR="00784F2D" w:rsidRDefault="00784F2D">
      <w:r>
        <w:t>rinvio pregiudiziale</w:t>
      </w:r>
    </w:p>
    <w:p w14:paraId="0A6590DC" w14:textId="77777777" w:rsidR="00784F2D" w:rsidRDefault="00784F2D">
      <w:proofErr w:type="gramStart"/>
      <w:r>
        <w:t>tutela</w:t>
      </w:r>
      <w:proofErr w:type="gramEnd"/>
      <w:r>
        <w:t xml:space="preserve"> cautelare</w:t>
      </w:r>
    </w:p>
    <w:p w14:paraId="7572F3C1" w14:textId="77777777" w:rsidR="00784F2D" w:rsidRDefault="00784F2D"/>
    <w:p w14:paraId="55FE16EB" w14:textId="77777777" w:rsidR="00784F2D" w:rsidRDefault="00784F2D">
      <w:r>
        <w:t xml:space="preserve">Sentenza 8 giugno </w:t>
      </w:r>
      <w:proofErr w:type="gramStart"/>
      <w:r>
        <w:t>2000,</w:t>
      </w:r>
      <w:proofErr w:type="gramEnd"/>
      <w:r>
        <w:t xml:space="preserve"> causa T-79/96 e altre, </w:t>
      </w:r>
      <w:proofErr w:type="spellStart"/>
      <w:r>
        <w:t>Camar</w:t>
      </w:r>
      <w:proofErr w:type="spellEnd"/>
      <w:r>
        <w:t xml:space="preserve"> e </w:t>
      </w:r>
      <w:proofErr w:type="spellStart"/>
      <w:r>
        <w:t>Tico</w:t>
      </w:r>
      <w:proofErr w:type="spellEnd"/>
      <w:r>
        <w:t xml:space="preserve"> c. Commissione</w:t>
      </w:r>
    </w:p>
    <w:p w14:paraId="0FC20D1E" w14:textId="77777777" w:rsidR="00784F2D" w:rsidRDefault="00784F2D">
      <w:hyperlink r:id="rId6" w:history="1">
        <w:r w:rsidRPr="000701CF">
          <w:rPr>
            <w:rStyle w:val="Hyperlink"/>
          </w:rPr>
          <w:t>http://eur-lex.europa.eu/LexUriServ/LexUriServ.do?uri=CELEX:61996TJ0079:IT:HTML</w:t>
        </w:r>
      </w:hyperlink>
    </w:p>
    <w:p w14:paraId="227DDFEA" w14:textId="77777777" w:rsidR="00784F2D" w:rsidRDefault="00784F2D">
      <w:r>
        <w:t xml:space="preserve">ricorso in </w:t>
      </w:r>
      <w:proofErr w:type="gramStart"/>
      <w:r>
        <w:t>carenza</w:t>
      </w:r>
      <w:proofErr w:type="gramEnd"/>
      <w:r>
        <w:t xml:space="preserve"> </w:t>
      </w:r>
    </w:p>
    <w:p w14:paraId="5203C755" w14:textId="77777777" w:rsidR="00784F2D" w:rsidRDefault="00784F2D">
      <w:proofErr w:type="gramStart"/>
      <w:r>
        <w:t>tutela</w:t>
      </w:r>
      <w:proofErr w:type="gramEnd"/>
      <w:r>
        <w:t xml:space="preserve"> cautelare</w:t>
      </w:r>
    </w:p>
    <w:p w14:paraId="7602F1F9" w14:textId="77777777" w:rsidR="00784F2D" w:rsidRDefault="00784F2D">
      <w:proofErr w:type="gramStart"/>
      <w:r>
        <w:t>ricorso</w:t>
      </w:r>
      <w:proofErr w:type="gramEnd"/>
      <w:r>
        <w:t xml:space="preserve"> per responsabilità</w:t>
      </w:r>
    </w:p>
    <w:p w14:paraId="6A09E573" w14:textId="77777777" w:rsidR="00784F2D" w:rsidRDefault="00784F2D"/>
    <w:p w14:paraId="18B460B2" w14:textId="77777777" w:rsidR="00784F2D" w:rsidRDefault="00784F2D">
      <w:r>
        <w:t xml:space="preserve">Sentenza 19 maggio </w:t>
      </w:r>
      <w:proofErr w:type="gramStart"/>
      <w:r>
        <w:t>2011,</w:t>
      </w:r>
      <w:proofErr w:type="gramEnd"/>
      <w:r>
        <w:t xml:space="preserve"> causa T-423/07, Ryanair c. Commissione</w:t>
      </w:r>
    </w:p>
    <w:p w14:paraId="5AEE4010" w14:textId="77777777" w:rsidR="00784F2D" w:rsidRDefault="00784F2D">
      <w:hyperlink r:id="rId7" w:history="1">
        <w:r w:rsidRPr="000701CF">
          <w:rPr>
            <w:rStyle w:val="Hyperlink"/>
          </w:rPr>
          <w:t>http://eur-lex.europa.eu/LexUriServ/LexUriServ.do?uri=CELEX:62007TJ0423:IT:HTML</w:t>
        </w:r>
      </w:hyperlink>
    </w:p>
    <w:p w14:paraId="011C96E2" w14:textId="77777777" w:rsidR="00784F2D" w:rsidRDefault="00FE448B">
      <w:r>
        <w:t xml:space="preserve">ricorso in </w:t>
      </w:r>
      <w:proofErr w:type="gramStart"/>
      <w:r>
        <w:t>carenza</w:t>
      </w:r>
      <w:proofErr w:type="gramEnd"/>
    </w:p>
    <w:p w14:paraId="40D51340" w14:textId="77777777" w:rsidR="00FE448B" w:rsidRDefault="00FE448B">
      <w:proofErr w:type="gramStart"/>
      <w:r>
        <w:t>concorrenza</w:t>
      </w:r>
      <w:proofErr w:type="gramEnd"/>
      <w:r>
        <w:t xml:space="preserve"> – denunce</w:t>
      </w:r>
    </w:p>
    <w:p w14:paraId="49504C1A" w14:textId="77777777" w:rsidR="00FE448B" w:rsidRDefault="00FE448B"/>
    <w:p w14:paraId="28845C2F" w14:textId="77777777" w:rsidR="00FE448B" w:rsidRDefault="00FE448B">
      <w:r>
        <w:t>***</w:t>
      </w:r>
    </w:p>
    <w:p w14:paraId="78D14FA3" w14:textId="77777777" w:rsidR="00FE448B" w:rsidRPr="00363B7C" w:rsidRDefault="00363B7C">
      <w:pPr>
        <w:rPr>
          <w:b/>
          <w:i/>
        </w:rPr>
      </w:pPr>
      <w:r w:rsidRPr="00363B7C">
        <w:rPr>
          <w:b/>
          <w:i/>
        </w:rPr>
        <w:t>Annullamento – diritto della concorrenza</w:t>
      </w:r>
      <w:r>
        <w:rPr>
          <w:b/>
          <w:i/>
        </w:rPr>
        <w:t xml:space="preserve"> – diritti fondamentali </w:t>
      </w:r>
      <w:bookmarkStart w:id="0" w:name="_GoBack"/>
      <w:bookmarkEnd w:id="0"/>
      <w:r>
        <w:rPr>
          <w:b/>
          <w:i/>
        </w:rPr>
        <w:t>– estensione del controllo giurisdizionale</w:t>
      </w:r>
    </w:p>
    <w:p w14:paraId="10E914E2" w14:textId="77777777" w:rsidR="00363B7C" w:rsidRDefault="00363B7C"/>
    <w:p w14:paraId="58D2CE88" w14:textId="77777777" w:rsidR="00FE448B" w:rsidRDefault="00FE448B">
      <w:r>
        <w:t>Concorrenza – controllo giurisdizionale (ricorso per annullamento)</w:t>
      </w:r>
    </w:p>
    <w:p w14:paraId="2A4A2C99" w14:textId="77777777" w:rsidR="00FE448B" w:rsidRDefault="00FE448B">
      <w:r>
        <w:t>Corte EDU, sentenza 27 settembre 2011, Menarini c. Italia</w:t>
      </w:r>
    </w:p>
    <w:p w14:paraId="7A9DA05A" w14:textId="77777777" w:rsidR="00FE448B" w:rsidRDefault="00FE448B">
      <w:hyperlink r:id="rId8" w:history="1">
        <w:r w:rsidRPr="000701CF">
          <w:rPr>
            <w:rStyle w:val="Hyperlink"/>
          </w:rPr>
          <w:t>http://www.giustizia.it/giustizia/it/mg_1_20_1.wp?previsiousPage=mg_14_7&amp;contentId=SDU685653</w:t>
        </w:r>
      </w:hyperlink>
    </w:p>
    <w:p w14:paraId="0C1D946F" w14:textId="77777777" w:rsidR="00FE448B" w:rsidRDefault="00FE448B"/>
    <w:p w14:paraId="65D423FD" w14:textId="77777777" w:rsidR="00784F2D" w:rsidRDefault="00A6527E">
      <w:r>
        <w:t>Sentenza</w:t>
      </w:r>
      <w:r w:rsidR="000A2E56">
        <w:t xml:space="preserve"> 8 dicembre </w:t>
      </w:r>
      <w:proofErr w:type="gramStart"/>
      <w:r w:rsidR="000A2E56">
        <w:t>2011,</w:t>
      </w:r>
      <w:proofErr w:type="gramEnd"/>
      <w:r w:rsidR="000A2E56">
        <w:t xml:space="preserve"> causa C-2722/09,</w:t>
      </w:r>
      <w:r>
        <w:t xml:space="preserve"> </w:t>
      </w:r>
      <w:r w:rsidR="000A2E56">
        <w:t>KME Germany c Commissione</w:t>
      </w:r>
    </w:p>
    <w:p w14:paraId="16758D8F" w14:textId="77777777" w:rsidR="00A6527E" w:rsidRDefault="000A2E56">
      <w:hyperlink r:id="rId9" w:history="1">
        <w:r w:rsidRPr="000701CF">
          <w:rPr>
            <w:rStyle w:val="Hyperlink"/>
          </w:rPr>
          <w:t>http://eur-lex.europa.eu/LexUriServ/LexUriServ.do?uri=CELEX:62009CJ0272:it:HTML</w:t>
        </w:r>
      </w:hyperlink>
    </w:p>
    <w:p w14:paraId="36C468F6" w14:textId="77777777" w:rsidR="000A2E56" w:rsidRDefault="000A2E56"/>
    <w:p w14:paraId="27FB802F" w14:textId="77777777" w:rsidR="00A6527E" w:rsidRDefault="000A2E56">
      <w:r>
        <w:t xml:space="preserve">Sentenza 29 giugno </w:t>
      </w:r>
      <w:proofErr w:type="gramStart"/>
      <w:r>
        <w:t>2010,</w:t>
      </w:r>
      <w:proofErr w:type="gramEnd"/>
      <w:r>
        <w:t xml:space="preserve"> causa C-441/07 P, Commissione c </w:t>
      </w:r>
      <w:proofErr w:type="spellStart"/>
      <w:r>
        <w:t>Alrosa</w:t>
      </w:r>
      <w:proofErr w:type="spellEnd"/>
    </w:p>
    <w:p w14:paraId="7671443E" w14:textId="77777777" w:rsidR="000A2E56" w:rsidRDefault="000A2E56">
      <w:hyperlink r:id="rId10" w:history="1">
        <w:r w:rsidRPr="000701CF">
          <w:rPr>
            <w:rStyle w:val="Hyperlink"/>
          </w:rPr>
          <w:t>http://eur-lex.europa.eu/LexUriServ/LexUriServ.do?uri=CELEX:62007CJ0441:IT:HTML</w:t>
        </w:r>
      </w:hyperlink>
    </w:p>
    <w:p w14:paraId="7253EF10" w14:textId="77777777" w:rsidR="000A2E56" w:rsidRDefault="000A2E56"/>
    <w:p w14:paraId="1907326C" w14:textId="77777777" w:rsidR="00A6527E" w:rsidRDefault="00A6527E"/>
    <w:sectPr w:rsidR="00A6527E" w:rsidSect="006F11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2D"/>
    <w:rsid w:val="000A2E56"/>
    <w:rsid w:val="00363B7C"/>
    <w:rsid w:val="00616A4D"/>
    <w:rsid w:val="006F1176"/>
    <w:rsid w:val="00784F2D"/>
    <w:rsid w:val="00A6527E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2B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ur-lex.europa.eu/LexUriServ/LexUriServ.do?uri=CELEX:61995CJ0068:IT:HTML" TargetMode="External"/><Relationship Id="rId6" Type="http://schemas.openxmlformats.org/officeDocument/2006/relationships/hyperlink" Target="http://eur-lex.europa.eu/LexUriServ/LexUriServ.do?uri=CELEX:61996TJ0079:IT:HTML" TargetMode="External"/><Relationship Id="rId7" Type="http://schemas.openxmlformats.org/officeDocument/2006/relationships/hyperlink" Target="http://eur-lex.europa.eu/LexUriServ/LexUriServ.do?uri=CELEX:62007TJ0423:IT:HTML" TargetMode="External"/><Relationship Id="rId8" Type="http://schemas.openxmlformats.org/officeDocument/2006/relationships/hyperlink" Target="http://www.giustizia.it/giustizia/it/mg_1_20_1.wp?previsiousPage=mg_14_7&amp;contentId=SDU685653" TargetMode="External"/><Relationship Id="rId9" Type="http://schemas.openxmlformats.org/officeDocument/2006/relationships/hyperlink" Target="http://eur-lex.europa.eu/LexUriServ/LexUriServ.do?uri=CELEX:62009CJ0272:it:HTML" TargetMode="External"/><Relationship Id="rId10" Type="http://schemas.openxmlformats.org/officeDocument/2006/relationships/hyperlink" Target="http://eur-lex.europa.eu/LexUriServ/LexUriServ.do?uri=CELEX:62007CJ0441:IT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Macintosh Word</Application>
  <DocSecurity>0</DocSecurity>
  <Lines>14</Lines>
  <Paragraphs>4</Paragraphs>
  <ScaleCrop>false</ScaleCrop>
  <Company>Università di Padova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Cortese</dc:creator>
  <cp:keywords/>
  <dc:description/>
  <cp:lastModifiedBy>Bernardo Cortese</cp:lastModifiedBy>
  <cp:revision>2</cp:revision>
  <dcterms:created xsi:type="dcterms:W3CDTF">2013-11-21T11:33:00Z</dcterms:created>
  <dcterms:modified xsi:type="dcterms:W3CDTF">2013-11-21T11:58:00Z</dcterms:modified>
</cp:coreProperties>
</file>