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88E0D" w14:textId="77777777" w:rsidR="00D5002F" w:rsidRPr="004C6B2B" w:rsidRDefault="00D5002F" w:rsidP="00D5002F">
      <w:pPr>
        <w:jc w:val="center"/>
        <w:rPr>
          <w:rFonts w:ascii="Times New Roman" w:hAnsi="Times New Roman" w:cs="Times New Roman"/>
          <w:b/>
          <w:bCs/>
          <w:sz w:val="40"/>
          <w:szCs w:val="40"/>
        </w:rPr>
      </w:pPr>
      <w:r w:rsidRPr="004C6B2B">
        <w:rPr>
          <w:rFonts w:ascii="Times New Roman" w:hAnsi="Times New Roman" w:cs="Times New Roman"/>
          <w:b/>
          <w:bCs/>
          <w:sz w:val="40"/>
          <w:szCs w:val="40"/>
        </w:rPr>
        <w:t xml:space="preserve">PARTE TERZA – LA TUTELA MULTILIVELLO DEI RAPPORTI ECONOMICI </w:t>
      </w:r>
    </w:p>
    <w:p w14:paraId="5F6E6FAC" w14:textId="77777777" w:rsidR="00D5002F" w:rsidRPr="004C6B2B" w:rsidRDefault="00D5002F" w:rsidP="00D5002F">
      <w:pPr>
        <w:jc w:val="center"/>
        <w:rPr>
          <w:rFonts w:ascii="Times New Roman" w:hAnsi="Times New Roman" w:cs="Times New Roman"/>
          <w:b/>
          <w:bCs/>
          <w:sz w:val="40"/>
          <w:szCs w:val="40"/>
        </w:rPr>
      </w:pPr>
    </w:p>
    <w:p w14:paraId="2ABF095B" w14:textId="77777777" w:rsidR="00D5002F" w:rsidRPr="004C6B2B" w:rsidRDefault="00D5002F" w:rsidP="00D5002F">
      <w:pPr>
        <w:jc w:val="center"/>
        <w:rPr>
          <w:rFonts w:ascii="Times New Roman" w:hAnsi="Times New Roman" w:cs="Times New Roman"/>
          <w:b/>
          <w:bCs/>
          <w:sz w:val="40"/>
          <w:szCs w:val="40"/>
        </w:rPr>
      </w:pPr>
      <w:r w:rsidRPr="004C6B2B">
        <w:rPr>
          <w:rFonts w:ascii="Times New Roman" w:hAnsi="Times New Roman" w:cs="Times New Roman"/>
          <w:b/>
          <w:bCs/>
          <w:sz w:val="40"/>
          <w:szCs w:val="40"/>
        </w:rPr>
        <w:t xml:space="preserve">Secondo modulo: Corte </w:t>
      </w:r>
      <w:proofErr w:type="spellStart"/>
      <w:r w:rsidRPr="004C6B2B">
        <w:rPr>
          <w:rFonts w:ascii="Times New Roman" w:hAnsi="Times New Roman" w:cs="Times New Roman"/>
          <w:b/>
          <w:bCs/>
          <w:sz w:val="40"/>
          <w:szCs w:val="40"/>
        </w:rPr>
        <w:t>Edu</w:t>
      </w:r>
      <w:proofErr w:type="spellEnd"/>
      <w:r w:rsidRPr="004C6B2B">
        <w:rPr>
          <w:rFonts w:ascii="Times New Roman" w:hAnsi="Times New Roman" w:cs="Times New Roman"/>
          <w:b/>
          <w:bCs/>
          <w:sz w:val="40"/>
          <w:szCs w:val="40"/>
        </w:rPr>
        <w:t xml:space="preserve"> e Corte di </w:t>
      </w:r>
      <w:proofErr w:type="gramStart"/>
      <w:r w:rsidRPr="004C6B2B">
        <w:rPr>
          <w:rFonts w:ascii="Times New Roman" w:hAnsi="Times New Roman" w:cs="Times New Roman"/>
          <w:b/>
          <w:bCs/>
          <w:sz w:val="40"/>
          <w:szCs w:val="40"/>
        </w:rPr>
        <w:t>Giustizia  UE</w:t>
      </w:r>
      <w:proofErr w:type="gramEnd"/>
    </w:p>
    <w:p w14:paraId="7DD6A2CD" w14:textId="77777777" w:rsidR="00D5002F" w:rsidRPr="004C6B2B" w:rsidRDefault="00D5002F" w:rsidP="00D5002F">
      <w:pPr>
        <w:jc w:val="both"/>
        <w:rPr>
          <w:rFonts w:ascii="Times New Roman" w:hAnsi="Times New Roman" w:cs="Times New Roman"/>
          <w:b/>
          <w:bCs/>
          <w:sz w:val="40"/>
          <w:szCs w:val="40"/>
        </w:rPr>
      </w:pPr>
    </w:p>
    <w:p w14:paraId="2E307BE6" w14:textId="6CF88C8F" w:rsidR="00D5002F" w:rsidRPr="004C6B2B" w:rsidRDefault="00D5002F" w:rsidP="00D5002F">
      <w:pPr>
        <w:jc w:val="center"/>
        <w:rPr>
          <w:rFonts w:ascii="Times New Roman" w:hAnsi="Times New Roman" w:cs="Times New Roman"/>
          <w:b/>
          <w:bCs/>
          <w:sz w:val="40"/>
          <w:szCs w:val="40"/>
        </w:rPr>
      </w:pPr>
      <w:r w:rsidRPr="004C6B2B">
        <w:rPr>
          <w:rFonts w:ascii="Times New Roman" w:hAnsi="Times New Roman" w:cs="Times New Roman"/>
          <w:b/>
          <w:bCs/>
          <w:sz w:val="40"/>
          <w:szCs w:val="40"/>
        </w:rPr>
        <w:t>Schema 1</w:t>
      </w:r>
      <w:r>
        <w:rPr>
          <w:rFonts w:ascii="Times New Roman" w:hAnsi="Times New Roman" w:cs="Times New Roman"/>
          <w:b/>
          <w:bCs/>
          <w:sz w:val="40"/>
          <w:szCs w:val="40"/>
        </w:rPr>
        <w:t>8</w:t>
      </w:r>
    </w:p>
    <w:p w14:paraId="150DEFEA" w14:textId="77777777" w:rsidR="00D5002F" w:rsidRPr="004C6B2B" w:rsidRDefault="00D5002F" w:rsidP="00D5002F">
      <w:pPr>
        <w:widowControl w:val="0"/>
        <w:autoSpaceDE w:val="0"/>
        <w:autoSpaceDN w:val="0"/>
        <w:adjustRightInd w:val="0"/>
        <w:ind w:right="-998"/>
        <w:jc w:val="center"/>
        <w:rPr>
          <w:rFonts w:ascii="Times New Roman" w:hAnsi="Times New Roman" w:cs="Times New Roman"/>
          <w:sz w:val="40"/>
          <w:szCs w:val="40"/>
        </w:rPr>
      </w:pPr>
    </w:p>
    <w:p w14:paraId="52B990D0" w14:textId="61389012" w:rsidR="00D5002F" w:rsidRPr="004C6B2B" w:rsidRDefault="00D5002F" w:rsidP="00D5002F">
      <w:pPr>
        <w:widowControl w:val="0"/>
        <w:autoSpaceDE w:val="0"/>
        <w:autoSpaceDN w:val="0"/>
        <w:adjustRightInd w:val="0"/>
        <w:ind w:right="-998"/>
        <w:jc w:val="center"/>
        <w:rPr>
          <w:rFonts w:ascii="Times New Roman" w:hAnsi="Times New Roman" w:cs="Times New Roman"/>
          <w:b/>
          <w:bCs/>
          <w:sz w:val="40"/>
          <w:szCs w:val="40"/>
        </w:rPr>
      </w:pPr>
      <w:r w:rsidRPr="004C6B2B">
        <w:rPr>
          <w:rFonts w:ascii="Times New Roman" w:hAnsi="Times New Roman" w:cs="Times New Roman"/>
          <w:b/>
          <w:bCs/>
          <w:sz w:val="40"/>
          <w:szCs w:val="40"/>
        </w:rPr>
        <w:t xml:space="preserve">CORTE </w:t>
      </w:r>
      <w:r w:rsidR="00426C94">
        <w:rPr>
          <w:rFonts w:ascii="Times New Roman" w:hAnsi="Times New Roman" w:cs="Times New Roman"/>
          <w:b/>
          <w:bCs/>
          <w:sz w:val="40"/>
          <w:szCs w:val="40"/>
        </w:rPr>
        <w:t>DI GIUSTIZIA UE</w:t>
      </w:r>
      <w:r w:rsidRPr="004C6B2B">
        <w:rPr>
          <w:rFonts w:ascii="Times New Roman" w:hAnsi="Times New Roman" w:cs="Times New Roman"/>
          <w:b/>
          <w:bCs/>
          <w:sz w:val="40"/>
          <w:szCs w:val="40"/>
        </w:rPr>
        <w:t xml:space="preserve"> E GIUSTIZIA COSTITUZIONALE</w:t>
      </w:r>
    </w:p>
    <w:p w14:paraId="33F56D3B" w14:textId="77777777" w:rsidR="00D5002F" w:rsidRPr="004C6B2B" w:rsidRDefault="00D5002F" w:rsidP="00D5002F">
      <w:pPr>
        <w:widowControl w:val="0"/>
        <w:autoSpaceDE w:val="0"/>
        <w:autoSpaceDN w:val="0"/>
        <w:adjustRightInd w:val="0"/>
        <w:ind w:right="-998"/>
        <w:jc w:val="both"/>
        <w:rPr>
          <w:rFonts w:ascii="Times New Roman" w:hAnsi="Times New Roman" w:cs="Times New Roman"/>
          <w:sz w:val="40"/>
          <w:szCs w:val="40"/>
        </w:rPr>
      </w:pPr>
    </w:p>
    <w:p w14:paraId="645EB837" w14:textId="77777777" w:rsidR="00F6764D" w:rsidRDefault="00F6764D" w:rsidP="00677D89">
      <w:pPr>
        <w:widowControl w:val="0"/>
        <w:autoSpaceDE w:val="0"/>
        <w:autoSpaceDN w:val="0"/>
        <w:adjustRightInd w:val="0"/>
        <w:ind w:right="-998"/>
        <w:jc w:val="both"/>
        <w:rPr>
          <w:rFonts w:ascii="Times New Roman" w:hAnsi="Times New Roman" w:cs="Times New Roman"/>
          <w:sz w:val="32"/>
          <w:szCs w:val="32"/>
        </w:rPr>
      </w:pPr>
    </w:p>
    <w:p w14:paraId="20CE045A" w14:textId="77777777" w:rsidR="00F6764D" w:rsidRDefault="00F6764D" w:rsidP="00677D89">
      <w:pPr>
        <w:widowControl w:val="0"/>
        <w:autoSpaceDE w:val="0"/>
        <w:autoSpaceDN w:val="0"/>
        <w:adjustRightInd w:val="0"/>
        <w:ind w:right="-998"/>
        <w:jc w:val="both"/>
        <w:rPr>
          <w:rFonts w:ascii="Times New Roman" w:hAnsi="Times New Roman" w:cs="Times New Roman"/>
          <w:sz w:val="32"/>
          <w:szCs w:val="32"/>
        </w:rPr>
      </w:pPr>
      <w:r>
        <w:rPr>
          <w:rFonts w:ascii="Times New Roman" w:hAnsi="Times New Roman" w:cs="Times New Roman"/>
          <w:sz w:val="32"/>
          <w:szCs w:val="32"/>
        </w:rPr>
        <w:t>STRUTTURA E FUNZIONI</w:t>
      </w:r>
    </w:p>
    <w:p w14:paraId="1A89B987" w14:textId="77777777" w:rsidR="00F6764D" w:rsidRPr="00B670C1" w:rsidRDefault="00F6764D" w:rsidP="00677D89">
      <w:pPr>
        <w:widowControl w:val="0"/>
        <w:autoSpaceDE w:val="0"/>
        <w:autoSpaceDN w:val="0"/>
        <w:adjustRightInd w:val="0"/>
        <w:ind w:right="-998"/>
        <w:jc w:val="both"/>
        <w:rPr>
          <w:rFonts w:ascii="Times New Roman" w:hAnsi="Times New Roman" w:cs="Times New Roman"/>
          <w:sz w:val="32"/>
          <w:szCs w:val="32"/>
        </w:rPr>
      </w:pPr>
    </w:p>
    <w:p w14:paraId="309F38CD" w14:textId="77777777" w:rsidR="00F6764D" w:rsidRPr="00B670C1" w:rsidRDefault="00F6764D" w:rsidP="00677D89">
      <w:pPr>
        <w:widowControl w:val="0"/>
        <w:autoSpaceDE w:val="0"/>
        <w:autoSpaceDN w:val="0"/>
        <w:adjustRightInd w:val="0"/>
        <w:ind w:right="-998"/>
        <w:jc w:val="both"/>
        <w:rPr>
          <w:rFonts w:ascii="Times New Roman" w:hAnsi="Times New Roman" w:cs="Times New Roman"/>
          <w:sz w:val="32"/>
          <w:szCs w:val="32"/>
        </w:rPr>
      </w:pPr>
      <w:r w:rsidRPr="00B670C1">
        <w:rPr>
          <w:rFonts w:ascii="Times New Roman" w:hAnsi="Times New Roman" w:cs="Times New Roman"/>
          <w:sz w:val="32"/>
          <w:szCs w:val="32"/>
        </w:rPr>
        <w:t xml:space="preserve">Art. 19 TUE, artt. 251 ss. TFUE e </w:t>
      </w:r>
      <w:r w:rsidRPr="00B670C1">
        <w:rPr>
          <w:rFonts w:ascii="Times New Roman" w:hAnsi="Times New Roman" w:cs="Arial"/>
          <w:color w:val="292929"/>
          <w:sz w:val="32"/>
          <w:szCs w:val="32"/>
        </w:rPr>
        <w:t>protocollo n. 3 sullo statuto della Corte di giustizia dell'Unione europea allegato ai trattati</w:t>
      </w:r>
      <w:r w:rsidRPr="00B670C1">
        <w:rPr>
          <w:rFonts w:ascii="Times New Roman" w:hAnsi="Times New Roman" w:cs="Times New Roman"/>
          <w:sz w:val="32"/>
          <w:szCs w:val="32"/>
        </w:rPr>
        <w:t>.</w:t>
      </w:r>
    </w:p>
    <w:p w14:paraId="6752D242" w14:textId="77777777" w:rsidR="00F6764D" w:rsidRPr="00B670C1" w:rsidRDefault="00F6764D" w:rsidP="00677D89">
      <w:pPr>
        <w:widowControl w:val="0"/>
        <w:autoSpaceDE w:val="0"/>
        <w:autoSpaceDN w:val="0"/>
        <w:adjustRightInd w:val="0"/>
        <w:ind w:right="-998"/>
        <w:jc w:val="both"/>
        <w:rPr>
          <w:rFonts w:ascii="Times New Roman" w:hAnsi="Times New Roman" w:cs="Times New Roman"/>
          <w:sz w:val="32"/>
          <w:szCs w:val="32"/>
        </w:rPr>
      </w:pPr>
    </w:p>
    <w:p w14:paraId="6F591A3F" w14:textId="77777777" w:rsidR="00F6764D" w:rsidRPr="00B670C1" w:rsidRDefault="00F6764D" w:rsidP="00677D89">
      <w:pPr>
        <w:widowControl w:val="0"/>
        <w:autoSpaceDE w:val="0"/>
        <w:autoSpaceDN w:val="0"/>
        <w:adjustRightInd w:val="0"/>
        <w:ind w:right="-998"/>
        <w:jc w:val="both"/>
        <w:rPr>
          <w:rFonts w:ascii="Times New Roman" w:hAnsi="Times New Roman" w:cs="Arial"/>
          <w:color w:val="292929"/>
          <w:sz w:val="32"/>
          <w:szCs w:val="32"/>
        </w:rPr>
      </w:pPr>
      <w:r w:rsidRPr="00B670C1">
        <w:rPr>
          <w:rFonts w:ascii="Times New Roman" w:hAnsi="Times New Roman" w:cs="Arial"/>
          <w:color w:val="292929"/>
          <w:sz w:val="32"/>
          <w:szCs w:val="32"/>
        </w:rPr>
        <w:t>Un giudice per Stato membro. La Corte è assistita da otto avvocati generali.</w:t>
      </w:r>
    </w:p>
    <w:p w14:paraId="4850CEC9" w14:textId="77777777" w:rsidR="00F6764D" w:rsidRPr="00B670C1" w:rsidRDefault="00F6764D" w:rsidP="00677D89">
      <w:pPr>
        <w:widowControl w:val="0"/>
        <w:autoSpaceDE w:val="0"/>
        <w:autoSpaceDN w:val="0"/>
        <w:adjustRightInd w:val="0"/>
        <w:ind w:right="-998"/>
        <w:jc w:val="both"/>
        <w:rPr>
          <w:rFonts w:ascii="Times New Roman" w:hAnsi="Times New Roman" w:cs="Times New Roman"/>
          <w:sz w:val="32"/>
          <w:szCs w:val="32"/>
        </w:rPr>
      </w:pPr>
      <w:r w:rsidRPr="00B670C1">
        <w:rPr>
          <w:rFonts w:ascii="Times New Roman" w:hAnsi="Times New Roman" w:cs="Arial"/>
          <w:color w:val="292929"/>
          <w:sz w:val="32"/>
          <w:szCs w:val="32"/>
        </w:rPr>
        <w:t>I giudici e gli avvocati generali riuniscono le condizioni richieste per l'esercizio, nei rispettivi paesi, delle più alte funzioni giurisdizionali, ovvero sono giureconsulti di notoria competenza.</w:t>
      </w:r>
    </w:p>
    <w:p w14:paraId="5F19BE13" w14:textId="77777777" w:rsidR="00F6764D" w:rsidRPr="00B670C1" w:rsidRDefault="00F6764D" w:rsidP="00677D89">
      <w:pPr>
        <w:widowControl w:val="0"/>
        <w:autoSpaceDE w:val="0"/>
        <w:autoSpaceDN w:val="0"/>
        <w:adjustRightInd w:val="0"/>
        <w:ind w:right="-998"/>
        <w:jc w:val="both"/>
        <w:rPr>
          <w:rFonts w:ascii="Times New Roman" w:hAnsi="Times New Roman" w:cs="Times New Roman"/>
          <w:sz w:val="32"/>
          <w:szCs w:val="32"/>
        </w:rPr>
      </w:pPr>
    </w:p>
    <w:p w14:paraId="799DBC8F" w14:textId="77777777" w:rsidR="00F6764D" w:rsidRPr="00B670C1" w:rsidRDefault="00F6764D" w:rsidP="00B670C1">
      <w:pPr>
        <w:widowControl w:val="0"/>
        <w:tabs>
          <w:tab w:val="left" w:pos="220"/>
          <w:tab w:val="left" w:pos="720"/>
        </w:tabs>
        <w:autoSpaceDE w:val="0"/>
        <w:autoSpaceDN w:val="0"/>
        <w:adjustRightInd w:val="0"/>
        <w:jc w:val="both"/>
        <w:rPr>
          <w:rFonts w:ascii="Times New Roman" w:hAnsi="Times New Roman" w:cs="Arial"/>
          <w:color w:val="292929"/>
          <w:sz w:val="32"/>
          <w:szCs w:val="32"/>
        </w:rPr>
      </w:pPr>
      <w:r w:rsidRPr="00B670C1">
        <w:rPr>
          <w:rFonts w:ascii="Times New Roman" w:hAnsi="Times New Roman" w:cs="Arial"/>
          <w:color w:val="292929"/>
          <w:sz w:val="32"/>
          <w:szCs w:val="32"/>
        </w:rPr>
        <w:t xml:space="preserve">Il mandato è di </w:t>
      </w:r>
      <w:proofErr w:type="gramStart"/>
      <w:r w:rsidRPr="00B670C1">
        <w:rPr>
          <w:rFonts w:ascii="Times New Roman" w:hAnsi="Times New Roman" w:cs="Arial"/>
          <w:color w:val="292929"/>
          <w:sz w:val="32"/>
          <w:szCs w:val="32"/>
        </w:rPr>
        <w:t>6</w:t>
      </w:r>
      <w:proofErr w:type="gramEnd"/>
      <w:r w:rsidRPr="00B670C1">
        <w:rPr>
          <w:rFonts w:ascii="Times New Roman" w:hAnsi="Times New Roman" w:cs="Arial"/>
          <w:color w:val="292929"/>
          <w:sz w:val="32"/>
          <w:szCs w:val="32"/>
        </w:rPr>
        <w:t xml:space="preserve"> anni. Si procede a un rinnovo parziale ogni tre anni, metà dei giudici e degli avvocati generali sono sostituiti </w:t>
      </w:r>
      <w:r>
        <w:rPr>
          <w:rFonts w:ascii="Times New Roman" w:hAnsi="Times New Roman" w:cs="Arial"/>
          <w:color w:val="292929"/>
          <w:sz w:val="32"/>
          <w:szCs w:val="32"/>
        </w:rPr>
        <w:t>in modo alternato</w:t>
      </w:r>
      <w:r w:rsidRPr="00B670C1">
        <w:rPr>
          <w:rFonts w:ascii="Times New Roman" w:hAnsi="Times New Roman" w:cs="Arial"/>
          <w:color w:val="292929"/>
          <w:sz w:val="32"/>
          <w:szCs w:val="32"/>
        </w:rPr>
        <w:t>.</w:t>
      </w:r>
    </w:p>
    <w:p w14:paraId="3357BC1A" w14:textId="77777777" w:rsidR="00F6764D" w:rsidRPr="00B670C1" w:rsidRDefault="00F6764D" w:rsidP="00B670C1">
      <w:pPr>
        <w:widowControl w:val="0"/>
        <w:autoSpaceDE w:val="0"/>
        <w:autoSpaceDN w:val="0"/>
        <w:adjustRightInd w:val="0"/>
        <w:ind w:right="-998"/>
        <w:jc w:val="both"/>
        <w:rPr>
          <w:rFonts w:ascii="Times New Roman" w:hAnsi="Times New Roman" w:cs="Arial"/>
          <w:color w:val="292929"/>
          <w:sz w:val="32"/>
          <w:szCs w:val="32"/>
        </w:rPr>
      </w:pPr>
      <w:r w:rsidRPr="00B670C1">
        <w:rPr>
          <w:rFonts w:ascii="Times New Roman" w:hAnsi="Times New Roman" w:cs="Arial"/>
          <w:color w:val="292929"/>
          <w:sz w:val="32"/>
          <w:szCs w:val="32"/>
        </w:rPr>
        <w:t>I giudici e gli avvocati generali uscenti possono essere nuovamente nominati.</w:t>
      </w:r>
    </w:p>
    <w:p w14:paraId="47D7F88D" w14:textId="77777777" w:rsidR="00F6764D" w:rsidRPr="00B670C1" w:rsidRDefault="00F6764D" w:rsidP="00B670C1">
      <w:pPr>
        <w:widowControl w:val="0"/>
        <w:autoSpaceDE w:val="0"/>
        <w:autoSpaceDN w:val="0"/>
        <w:adjustRightInd w:val="0"/>
        <w:ind w:right="-998"/>
        <w:jc w:val="both"/>
        <w:rPr>
          <w:rFonts w:ascii="Times New Roman" w:hAnsi="Times New Roman" w:cs="Arial"/>
          <w:color w:val="292929"/>
          <w:sz w:val="32"/>
          <w:szCs w:val="32"/>
        </w:rPr>
      </w:pPr>
    </w:p>
    <w:p w14:paraId="43672186" w14:textId="77777777" w:rsidR="00F6764D" w:rsidRPr="00B670C1" w:rsidRDefault="00F6764D" w:rsidP="00B670C1">
      <w:pPr>
        <w:widowControl w:val="0"/>
        <w:autoSpaceDE w:val="0"/>
        <w:autoSpaceDN w:val="0"/>
        <w:adjustRightInd w:val="0"/>
        <w:rPr>
          <w:rFonts w:ascii="Times New Roman" w:hAnsi="Times New Roman" w:cs="Arial"/>
          <w:color w:val="292929"/>
          <w:sz w:val="32"/>
          <w:szCs w:val="32"/>
        </w:rPr>
      </w:pPr>
      <w:r w:rsidRPr="00B670C1">
        <w:rPr>
          <w:rFonts w:ascii="Times New Roman" w:hAnsi="Times New Roman" w:cs="Arial"/>
          <w:color w:val="292929"/>
          <w:sz w:val="32"/>
          <w:szCs w:val="32"/>
        </w:rPr>
        <w:t xml:space="preserve">La Corte designa tra i suoi membri il presidente, per un mandato di tre anni rinnovabile. </w:t>
      </w:r>
    </w:p>
    <w:p w14:paraId="667DE586" w14:textId="77777777" w:rsidR="00F6764D" w:rsidRPr="00B670C1" w:rsidRDefault="00F6764D" w:rsidP="00B670C1">
      <w:pPr>
        <w:widowControl w:val="0"/>
        <w:autoSpaceDE w:val="0"/>
        <w:autoSpaceDN w:val="0"/>
        <w:adjustRightInd w:val="0"/>
        <w:ind w:right="-998"/>
        <w:jc w:val="both"/>
        <w:rPr>
          <w:rFonts w:ascii="Times New Roman" w:hAnsi="Times New Roman" w:cs="Arial"/>
          <w:color w:val="292929"/>
          <w:sz w:val="32"/>
          <w:szCs w:val="32"/>
        </w:rPr>
      </w:pPr>
      <w:r w:rsidRPr="00B670C1">
        <w:rPr>
          <w:rFonts w:ascii="Times New Roman" w:hAnsi="Times New Roman" w:cs="Arial"/>
          <w:color w:val="292929"/>
          <w:sz w:val="32"/>
          <w:szCs w:val="32"/>
        </w:rPr>
        <w:t xml:space="preserve">La Corte di giustizia stabilisce il proprio regolamento di procedura. Tale regolamento è sottoposto all'approvazione del Consiglio, che delibera a maggioranza qualificata. </w:t>
      </w:r>
    </w:p>
    <w:p w14:paraId="20CD920C" w14:textId="216759CE" w:rsidR="00F6764D" w:rsidRPr="00B670C1" w:rsidRDefault="00F6764D" w:rsidP="00426C94">
      <w:pPr>
        <w:widowControl w:val="0"/>
        <w:autoSpaceDE w:val="0"/>
        <w:autoSpaceDN w:val="0"/>
        <w:adjustRightInd w:val="0"/>
        <w:ind w:right="-998"/>
        <w:jc w:val="both"/>
        <w:rPr>
          <w:rFonts w:ascii="Times New Roman" w:hAnsi="Times New Roman" w:cs="Times New Roman"/>
          <w:sz w:val="32"/>
          <w:szCs w:val="32"/>
        </w:rPr>
      </w:pPr>
      <w:r w:rsidRPr="00B670C1">
        <w:rPr>
          <w:rFonts w:ascii="Times New Roman" w:hAnsi="Times New Roman" w:cs="Arial"/>
          <w:color w:val="292929"/>
          <w:sz w:val="32"/>
          <w:szCs w:val="32"/>
        </w:rPr>
        <w:t>La Corte di giustizia si riunisce in seduta plenaria con 28 giudici, in grande sezione con 15 giudici o in sezioni di tre o cinque giudici</w:t>
      </w:r>
      <w:r>
        <w:rPr>
          <w:rFonts w:ascii="Times New Roman" w:hAnsi="Times New Roman" w:cs="Arial"/>
          <w:color w:val="292929"/>
          <w:sz w:val="32"/>
          <w:szCs w:val="32"/>
        </w:rPr>
        <w:t xml:space="preserve"> (v. artt. 16, 17 e 18, co. 4, Statuto)</w:t>
      </w:r>
      <w:r w:rsidRPr="00B670C1">
        <w:rPr>
          <w:rFonts w:ascii="Times New Roman" w:hAnsi="Times New Roman" w:cs="Arial"/>
          <w:color w:val="292929"/>
          <w:sz w:val="32"/>
          <w:szCs w:val="32"/>
        </w:rPr>
        <w:t>.</w:t>
      </w:r>
      <w:r>
        <w:rPr>
          <w:rFonts w:ascii="Times New Roman" w:hAnsi="Times New Roman" w:cs="Arial"/>
          <w:color w:val="292929"/>
          <w:sz w:val="32"/>
          <w:szCs w:val="32"/>
        </w:rPr>
        <w:t xml:space="preserve"> </w:t>
      </w:r>
    </w:p>
    <w:p w14:paraId="0968ACFB" w14:textId="77777777" w:rsidR="00F6764D" w:rsidRPr="00B670C1" w:rsidRDefault="00F6764D" w:rsidP="00677D89">
      <w:pPr>
        <w:widowControl w:val="0"/>
        <w:autoSpaceDE w:val="0"/>
        <w:autoSpaceDN w:val="0"/>
        <w:adjustRightInd w:val="0"/>
        <w:ind w:right="-998"/>
        <w:jc w:val="both"/>
        <w:rPr>
          <w:rFonts w:ascii="Times New Roman" w:hAnsi="Times New Roman" w:cs="Times New Roman"/>
          <w:sz w:val="32"/>
          <w:szCs w:val="32"/>
        </w:rPr>
      </w:pPr>
    </w:p>
    <w:p w14:paraId="0FC0CBC3" w14:textId="77777777" w:rsidR="00F6764D" w:rsidRDefault="00F6764D" w:rsidP="00677D89">
      <w:pPr>
        <w:widowControl w:val="0"/>
        <w:autoSpaceDE w:val="0"/>
        <w:autoSpaceDN w:val="0"/>
        <w:adjustRightInd w:val="0"/>
        <w:ind w:right="-998"/>
        <w:jc w:val="both"/>
        <w:rPr>
          <w:rFonts w:ascii="Times New Roman" w:hAnsi="Times New Roman" w:cs="Times New Roman"/>
          <w:sz w:val="32"/>
          <w:szCs w:val="32"/>
        </w:rPr>
      </w:pPr>
      <w:proofErr w:type="gramStart"/>
      <w:r>
        <w:rPr>
          <w:rFonts w:ascii="Times New Roman" w:hAnsi="Times New Roman" w:cs="Times New Roman"/>
          <w:sz w:val="32"/>
          <w:szCs w:val="32"/>
        </w:rPr>
        <w:t>3</w:t>
      </w:r>
      <w:proofErr w:type="gramEnd"/>
      <w:r>
        <w:rPr>
          <w:rFonts w:ascii="Times New Roman" w:hAnsi="Times New Roman" w:cs="Times New Roman"/>
          <w:sz w:val="32"/>
          <w:szCs w:val="32"/>
        </w:rPr>
        <w:t xml:space="preserve"> compiti principale di CGE: a) assicurare il rispetto del diritto primario e derivato Ue da parte degli Stati; b) assicurare il rispetto del diritto UE da parte delle istituzioni Ue; c) assicurare l’uniforme applicazione del diritto europeo.</w:t>
      </w:r>
    </w:p>
    <w:p w14:paraId="7255C29E" w14:textId="77777777" w:rsidR="00F6764D" w:rsidRDefault="00F6764D" w:rsidP="00677D89">
      <w:pPr>
        <w:widowControl w:val="0"/>
        <w:autoSpaceDE w:val="0"/>
        <w:autoSpaceDN w:val="0"/>
        <w:adjustRightInd w:val="0"/>
        <w:ind w:right="-998"/>
        <w:jc w:val="both"/>
        <w:rPr>
          <w:rFonts w:ascii="Times New Roman" w:hAnsi="Times New Roman" w:cs="Times New Roman"/>
          <w:sz w:val="32"/>
          <w:szCs w:val="32"/>
        </w:rPr>
      </w:pPr>
    </w:p>
    <w:p w14:paraId="5F180BE0" w14:textId="77777777" w:rsidR="00F6764D" w:rsidRDefault="00F6764D" w:rsidP="00677D89">
      <w:pPr>
        <w:widowControl w:val="0"/>
        <w:autoSpaceDE w:val="0"/>
        <w:autoSpaceDN w:val="0"/>
        <w:adjustRightInd w:val="0"/>
        <w:ind w:right="-998"/>
        <w:jc w:val="both"/>
        <w:rPr>
          <w:rFonts w:ascii="Times New Roman" w:hAnsi="Times New Roman" w:cs="Times New Roman"/>
          <w:sz w:val="32"/>
          <w:szCs w:val="32"/>
        </w:rPr>
      </w:pPr>
      <w:r w:rsidRPr="00B670C1">
        <w:rPr>
          <w:rFonts w:ascii="Times New Roman" w:hAnsi="Times New Roman" w:cs="Times New Roman"/>
          <w:sz w:val="32"/>
          <w:szCs w:val="32"/>
        </w:rPr>
        <w:t xml:space="preserve">Artt. 258 ss. </w:t>
      </w:r>
      <w:r w:rsidRPr="00B670C1">
        <w:rPr>
          <w:rFonts w:ascii="Times New Roman" w:hAnsi="Times New Roman" w:cs="Times New Roman"/>
          <w:b/>
          <w:bCs/>
          <w:sz w:val="32"/>
          <w:szCs w:val="32"/>
        </w:rPr>
        <w:t>Ricorso per infra</w:t>
      </w:r>
      <w:r w:rsidRPr="00B312F3">
        <w:rPr>
          <w:rFonts w:ascii="Times New Roman" w:hAnsi="Times New Roman" w:cs="Times New Roman"/>
          <w:b/>
          <w:bCs/>
          <w:sz w:val="32"/>
          <w:szCs w:val="32"/>
        </w:rPr>
        <w:t>zione</w:t>
      </w:r>
      <w:r>
        <w:rPr>
          <w:rFonts w:ascii="Times New Roman" w:hAnsi="Times New Roman" w:cs="Times New Roman"/>
          <w:sz w:val="32"/>
          <w:szCs w:val="32"/>
        </w:rPr>
        <w:t xml:space="preserve"> proponibile da Commissione o da altro Stato-membro.</w:t>
      </w:r>
    </w:p>
    <w:p w14:paraId="388C808B" w14:textId="77777777" w:rsidR="00F6764D" w:rsidRDefault="00F6764D" w:rsidP="00677D89">
      <w:pPr>
        <w:widowControl w:val="0"/>
        <w:autoSpaceDE w:val="0"/>
        <w:autoSpaceDN w:val="0"/>
        <w:adjustRightInd w:val="0"/>
        <w:ind w:right="-998"/>
        <w:jc w:val="both"/>
        <w:rPr>
          <w:rFonts w:ascii="Times New Roman" w:hAnsi="Times New Roman" w:cs="Times New Roman"/>
          <w:sz w:val="32"/>
          <w:szCs w:val="32"/>
        </w:rPr>
      </w:pPr>
    </w:p>
    <w:p w14:paraId="012C2B1E" w14:textId="77777777" w:rsidR="00F6764D" w:rsidRDefault="00F6764D" w:rsidP="00677D89">
      <w:pPr>
        <w:widowControl w:val="0"/>
        <w:autoSpaceDE w:val="0"/>
        <w:autoSpaceDN w:val="0"/>
        <w:adjustRightInd w:val="0"/>
        <w:ind w:right="-998"/>
        <w:jc w:val="both"/>
        <w:rPr>
          <w:rFonts w:ascii="Times New Roman" w:hAnsi="Times New Roman" w:cs="Times New Roman"/>
          <w:sz w:val="32"/>
          <w:szCs w:val="32"/>
        </w:rPr>
      </w:pPr>
      <w:r>
        <w:rPr>
          <w:rFonts w:ascii="Times New Roman" w:hAnsi="Times New Roman" w:cs="Times New Roman"/>
          <w:sz w:val="32"/>
          <w:szCs w:val="32"/>
        </w:rPr>
        <w:t xml:space="preserve">Art. 263. </w:t>
      </w:r>
      <w:r w:rsidRPr="00B312F3">
        <w:rPr>
          <w:rFonts w:ascii="Times New Roman" w:hAnsi="Times New Roman" w:cs="Times New Roman"/>
          <w:b/>
          <w:bCs/>
          <w:sz w:val="32"/>
          <w:szCs w:val="32"/>
        </w:rPr>
        <w:t>Ricorso per annullamento</w:t>
      </w:r>
      <w:r>
        <w:rPr>
          <w:rFonts w:ascii="Times New Roman" w:hAnsi="Times New Roman" w:cs="Times New Roman"/>
          <w:sz w:val="32"/>
          <w:szCs w:val="32"/>
        </w:rPr>
        <w:t>, cioè impugnazione di atti di organi Ue (tranne raccomandazioni e pareri), proposta entro 2 mesi da altri organi Ue, da Stati-</w:t>
      </w:r>
      <w:proofErr w:type="gramStart"/>
      <w:r>
        <w:rPr>
          <w:rFonts w:ascii="Times New Roman" w:hAnsi="Times New Roman" w:cs="Times New Roman"/>
          <w:sz w:val="32"/>
          <w:szCs w:val="32"/>
        </w:rPr>
        <w:t>membri  e</w:t>
      </w:r>
      <w:proofErr w:type="gramEnd"/>
      <w:r>
        <w:rPr>
          <w:rFonts w:ascii="Times New Roman" w:hAnsi="Times New Roman" w:cs="Times New Roman"/>
          <w:sz w:val="32"/>
          <w:szCs w:val="32"/>
        </w:rPr>
        <w:t xml:space="preserve"> da privati per violazione dei trattati. I privati possono impugnare anche regolamenti, se direttamente lesivi. V. art. 277 su possibilità di disapplicazione. V. artt. 278 e 279 su poteri cautelari. Competenza in primo grado del Tribunale (art. 256 TFUE).</w:t>
      </w:r>
    </w:p>
    <w:p w14:paraId="167ED07A" w14:textId="77777777" w:rsidR="00F6764D" w:rsidRDefault="00F6764D" w:rsidP="00677D89">
      <w:pPr>
        <w:widowControl w:val="0"/>
        <w:autoSpaceDE w:val="0"/>
        <w:autoSpaceDN w:val="0"/>
        <w:adjustRightInd w:val="0"/>
        <w:ind w:right="-998"/>
        <w:jc w:val="both"/>
        <w:rPr>
          <w:rFonts w:ascii="Times New Roman" w:hAnsi="Times New Roman" w:cs="Times New Roman"/>
          <w:sz w:val="32"/>
          <w:szCs w:val="32"/>
        </w:rPr>
      </w:pPr>
    </w:p>
    <w:p w14:paraId="1A10A31A" w14:textId="77777777" w:rsidR="00F6764D" w:rsidRDefault="00F6764D" w:rsidP="00677D89">
      <w:pPr>
        <w:widowControl w:val="0"/>
        <w:autoSpaceDE w:val="0"/>
        <w:autoSpaceDN w:val="0"/>
        <w:adjustRightInd w:val="0"/>
        <w:ind w:right="-998"/>
        <w:jc w:val="both"/>
        <w:rPr>
          <w:rFonts w:ascii="Times New Roman" w:hAnsi="Times New Roman" w:cs="Times New Roman"/>
          <w:sz w:val="32"/>
          <w:szCs w:val="32"/>
        </w:rPr>
      </w:pPr>
      <w:r>
        <w:rPr>
          <w:rFonts w:ascii="Times New Roman" w:hAnsi="Times New Roman" w:cs="Times New Roman"/>
          <w:sz w:val="32"/>
          <w:szCs w:val="32"/>
        </w:rPr>
        <w:t xml:space="preserve">Art. 265. </w:t>
      </w:r>
      <w:r w:rsidRPr="00B312F3">
        <w:rPr>
          <w:rFonts w:ascii="Times New Roman" w:hAnsi="Times New Roman" w:cs="Times New Roman"/>
          <w:b/>
          <w:bCs/>
          <w:sz w:val="32"/>
          <w:szCs w:val="32"/>
        </w:rPr>
        <w:t>Ricorso in carenza</w:t>
      </w:r>
      <w:r>
        <w:rPr>
          <w:rFonts w:ascii="Times New Roman" w:hAnsi="Times New Roman" w:cs="Times New Roman"/>
          <w:sz w:val="32"/>
          <w:szCs w:val="32"/>
        </w:rPr>
        <w:t>. Stessi legittimati di art. 263. Diffida, 2 mesi e, in caso d’inerzia, altri 2 mesi per il ricorso. Competenza in primo grado del Tribunale (art. 256 TFUE).</w:t>
      </w:r>
    </w:p>
    <w:p w14:paraId="0B4DE611" w14:textId="77777777" w:rsidR="00F6764D" w:rsidRDefault="00F6764D" w:rsidP="00677D89">
      <w:pPr>
        <w:widowControl w:val="0"/>
        <w:autoSpaceDE w:val="0"/>
        <w:autoSpaceDN w:val="0"/>
        <w:adjustRightInd w:val="0"/>
        <w:ind w:right="-998"/>
        <w:jc w:val="both"/>
        <w:rPr>
          <w:rFonts w:ascii="Times New Roman" w:hAnsi="Times New Roman" w:cs="Times New Roman"/>
          <w:sz w:val="32"/>
          <w:szCs w:val="32"/>
        </w:rPr>
      </w:pPr>
    </w:p>
    <w:p w14:paraId="467FCC31" w14:textId="77777777" w:rsidR="00F6764D" w:rsidRDefault="00F6764D" w:rsidP="00677D89">
      <w:pPr>
        <w:widowControl w:val="0"/>
        <w:autoSpaceDE w:val="0"/>
        <w:autoSpaceDN w:val="0"/>
        <w:adjustRightInd w:val="0"/>
        <w:ind w:right="-998"/>
        <w:jc w:val="both"/>
        <w:rPr>
          <w:rFonts w:ascii="Times New Roman" w:hAnsi="Times New Roman" w:cs="Times New Roman"/>
          <w:sz w:val="32"/>
          <w:szCs w:val="32"/>
        </w:rPr>
      </w:pPr>
      <w:r>
        <w:rPr>
          <w:rFonts w:ascii="Times New Roman" w:hAnsi="Times New Roman" w:cs="Times New Roman"/>
          <w:sz w:val="32"/>
          <w:szCs w:val="32"/>
        </w:rPr>
        <w:t xml:space="preserve">Art. 267. </w:t>
      </w:r>
      <w:r w:rsidRPr="00B312F3">
        <w:rPr>
          <w:rFonts w:ascii="Times New Roman" w:hAnsi="Times New Roman" w:cs="Times New Roman"/>
          <w:b/>
          <w:bCs/>
          <w:sz w:val="32"/>
          <w:szCs w:val="32"/>
        </w:rPr>
        <w:t>Rinvio pregiudiziale</w:t>
      </w:r>
      <w:r>
        <w:rPr>
          <w:rFonts w:ascii="Times New Roman" w:hAnsi="Times New Roman" w:cs="Times New Roman"/>
          <w:sz w:val="32"/>
          <w:szCs w:val="32"/>
        </w:rPr>
        <w:t xml:space="preserve"> di interpretazione (trattati e diritto derivato) e di validità (diritto derivato). </w:t>
      </w:r>
    </w:p>
    <w:p w14:paraId="6BFA7FCA" w14:textId="77777777" w:rsidR="00426C94" w:rsidRDefault="00426C94" w:rsidP="00677D89">
      <w:pPr>
        <w:widowControl w:val="0"/>
        <w:autoSpaceDE w:val="0"/>
        <w:autoSpaceDN w:val="0"/>
        <w:adjustRightInd w:val="0"/>
        <w:ind w:right="-998"/>
        <w:jc w:val="both"/>
        <w:rPr>
          <w:rFonts w:ascii="Times New Roman" w:hAnsi="Times New Roman" w:cs="Times New Roman"/>
          <w:sz w:val="32"/>
          <w:szCs w:val="32"/>
        </w:rPr>
      </w:pPr>
    </w:p>
    <w:p w14:paraId="2FC943DD" w14:textId="77777777" w:rsidR="00F6764D" w:rsidRDefault="00F6764D" w:rsidP="00677D89">
      <w:pPr>
        <w:widowControl w:val="0"/>
        <w:autoSpaceDE w:val="0"/>
        <w:autoSpaceDN w:val="0"/>
        <w:adjustRightInd w:val="0"/>
        <w:ind w:right="-998"/>
        <w:jc w:val="both"/>
        <w:rPr>
          <w:rFonts w:ascii="Times New Roman" w:hAnsi="Times New Roman" w:cs="Times New Roman"/>
          <w:sz w:val="32"/>
          <w:szCs w:val="32"/>
        </w:rPr>
      </w:pPr>
    </w:p>
    <w:p w14:paraId="573D3F2A" w14:textId="6158F0B1" w:rsidR="00F6764D" w:rsidRDefault="00F6764D" w:rsidP="00677D89">
      <w:pPr>
        <w:widowControl w:val="0"/>
        <w:autoSpaceDE w:val="0"/>
        <w:autoSpaceDN w:val="0"/>
        <w:adjustRightInd w:val="0"/>
        <w:ind w:right="-998"/>
        <w:jc w:val="both"/>
        <w:rPr>
          <w:rFonts w:ascii="Times New Roman" w:hAnsi="Times New Roman" w:cs="Times New Roman"/>
          <w:sz w:val="32"/>
          <w:szCs w:val="32"/>
        </w:rPr>
      </w:pPr>
      <w:r>
        <w:rPr>
          <w:rFonts w:ascii="Times New Roman" w:hAnsi="Times New Roman" w:cs="Times New Roman"/>
          <w:sz w:val="32"/>
          <w:szCs w:val="32"/>
        </w:rPr>
        <w:t>Ruolo molto importante di giurisprudenza CGE: natura di CEE, primazia del diritto Ue sul diritto degli Stati, non applicazione di diritto interno, applicabilità diretta di norme dei trattati e delle direttive in certi casi, risarcimento danni per violazione del diritto Ue da parte di organi statali, divieto per i giudici nazionali di accertare invalidità di diritto europeo.</w:t>
      </w:r>
    </w:p>
    <w:p w14:paraId="5D64E16E" w14:textId="77777777" w:rsidR="00426C94" w:rsidRDefault="00426C94" w:rsidP="00677D89">
      <w:pPr>
        <w:widowControl w:val="0"/>
        <w:autoSpaceDE w:val="0"/>
        <w:autoSpaceDN w:val="0"/>
        <w:adjustRightInd w:val="0"/>
        <w:ind w:right="-998"/>
        <w:jc w:val="both"/>
        <w:rPr>
          <w:rFonts w:ascii="Times New Roman" w:hAnsi="Times New Roman" w:cs="Times New Roman"/>
          <w:sz w:val="32"/>
          <w:szCs w:val="32"/>
        </w:rPr>
      </w:pPr>
    </w:p>
    <w:p w14:paraId="62C98BB9" w14:textId="77777777" w:rsidR="00426C94" w:rsidRDefault="00426C94" w:rsidP="00426C94">
      <w:pPr>
        <w:widowControl w:val="0"/>
        <w:autoSpaceDE w:val="0"/>
        <w:autoSpaceDN w:val="0"/>
        <w:adjustRightInd w:val="0"/>
        <w:ind w:left="360" w:right="-998"/>
        <w:jc w:val="both"/>
        <w:rPr>
          <w:rFonts w:ascii="Times New Roman" w:hAnsi="Times New Roman" w:cs="Times New Roman"/>
          <w:sz w:val="32"/>
          <w:szCs w:val="32"/>
        </w:rPr>
      </w:pPr>
      <w:r>
        <w:rPr>
          <w:rFonts w:ascii="Times New Roman" w:hAnsi="Times New Roman" w:cs="Times New Roman"/>
          <w:sz w:val="32"/>
          <w:szCs w:val="32"/>
        </w:rPr>
        <w:t>RINVIO PREGIUDIZIALE</w:t>
      </w:r>
    </w:p>
    <w:p w14:paraId="690235B6" w14:textId="77777777" w:rsidR="00426C94" w:rsidRDefault="00426C94" w:rsidP="00426C94">
      <w:pPr>
        <w:widowControl w:val="0"/>
        <w:autoSpaceDE w:val="0"/>
        <w:autoSpaceDN w:val="0"/>
        <w:adjustRightInd w:val="0"/>
        <w:ind w:left="360" w:right="-998"/>
        <w:jc w:val="both"/>
        <w:rPr>
          <w:rFonts w:ascii="Times New Roman" w:hAnsi="Times New Roman" w:cs="Times New Roman"/>
          <w:sz w:val="32"/>
          <w:szCs w:val="32"/>
        </w:rPr>
      </w:pPr>
    </w:p>
    <w:p w14:paraId="14D36A7A" w14:textId="77777777" w:rsidR="00426C94" w:rsidRDefault="00426C94" w:rsidP="00426C94">
      <w:pPr>
        <w:widowControl w:val="0"/>
        <w:autoSpaceDE w:val="0"/>
        <w:autoSpaceDN w:val="0"/>
        <w:adjustRightInd w:val="0"/>
        <w:ind w:left="360" w:right="-998"/>
        <w:jc w:val="both"/>
        <w:rPr>
          <w:rFonts w:ascii="Times New Roman" w:hAnsi="Times New Roman" w:cs="Times New Roman"/>
          <w:sz w:val="32"/>
          <w:szCs w:val="32"/>
        </w:rPr>
      </w:pPr>
      <w:r>
        <w:rPr>
          <w:rFonts w:ascii="Times New Roman" w:hAnsi="Times New Roman" w:cs="Times New Roman"/>
          <w:sz w:val="32"/>
          <w:szCs w:val="32"/>
        </w:rPr>
        <w:t>In teoria diritto europeo = oggetto del giudizio; in pratica oggetto del giudizio = legge italiana e diritto europeo = parametro.</w:t>
      </w:r>
    </w:p>
    <w:p w14:paraId="0DA87841" w14:textId="77777777" w:rsidR="00426C94" w:rsidRDefault="00426C94" w:rsidP="00426C94">
      <w:pPr>
        <w:widowControl w:val="0"/>
        <w:autoSpaceDE w:val="0"/>
        <w:autoSpaceDN w:val="0"/>
        <w:adjustRightInd w:val="0"/>
        <w:ind w:left="360" w:right="-998"/>
        <w:jc w:val="both"/>
        <w:rPr>
          <w:rFonts w:ascii="Times New Roman" w:hAnsi="Times New Roman" w:cs="Times New Roman"/>
          <w:sz w:val="32"/>
          <w:szCs w:val="32"/>
        </w:rPr>
      </w:pPr>
      <w:r>
        <w:rPr>
          <w:rFonts w:ascii="Times New Roman" w:hAnsi="Times New Roman" w:cs="Times New Roman"/>
          <w:sz w:val="32"/>
          <w:szCs w:val="32"/>
        </w:rPr>
        <w:t>CGE = giudice costituzionale transnazionale perché giudica di leggi italiane e tutela i diritti (previsti da norme europee).</w:t>
      </w:r>
    </w:p>
    <w:p w14:paraId="131A165B" w14:textId="77777777" w:rsidR="00426C94" w:rsidRDefault="00426C94" w:rsidP="00426C94">
      <w:pPr>
        <w:widowControl w:val="0"/>
        <w:autoSpaceDE w:val="0"/>
        <w:autoSpaceDN w:val="0"/>
        <w:adjustRightInd w:val="0"/>
        <w:ind w:left="360" w:right="-998"/>
        <w:jc w:val="both"/>
        <w:rPr>
          <w:rFonts w:ascii="Times New Roman" w:hAnsi="Times New Roman" w:cs="Times New Roman"/>
          <w:sz w:val="32"/>
          <w:szCs w:val="32"/>
        </w:rPr>
      </w:pPr>
      <w:r>
        <w:rPr>
          <w:rFonts w:ascii="Times New Roman" w:hAnsi="Times New Roman" w:cs="Times New Roman"/>
          <w:sz w:val="32"/>
          <w:szCs w:val="32"/>
        </w:rPr>
        <w:t>Rinvio pregiudiziale “ispirato” da giudizio costituzionale incidentale italiano.</w:t>
      </w:r>
    </w:p>
    <w:p w14:paraId="6AD85222" w14:textId="3B4C7C00" w:rsidR="00426C94" w:rsidRPr="00C835BD" w:rsidRDefault="00426C94" w:rsidP="00426C94">
      <w:pPr>
        <w:widowControl w:val="0"/>
        <w:autoSpaceDE w:val="0"/>
        <w:autoSpaceDN w:val="0"/>
        <w:adjustRightInd w:val="0"/>
        <w:ind w:left="360" w:right="-998"/>
        <w:jc w:val="both"/>
        <w:rPr>
          <w:rFonts w:ascii="Times New Roman" w:hAnsi="Times New Roman" w:cs="Times New Roman"/>
          <w:sz w:val="32"/>
          <w:szCs w:val="32"/>
        </w:rPr>
      </w:pPr>
      <w:r>
        <w:rPr>
          <w:rFonts w:ascii="Times New Roman" w:hAnsi="Times New Roman" w:cs="Times New Roman"/>
          <w:sz w:val="32"/>
          <w:szCs w:val="32"/>
        </w:rPr>
        <w:t xml:space="preserve">Rinvio facoltativo e obbligatorio. </w:t>
      </w:r>
    </w:p>
    <w:p w14:paraId="07D3E195" w14:textId="6702EF45" w:rsidR="00426C94" w:rsidRDefault="00426C94" w:rsidP="00426C94">
      <w:pPr>
        <w:widowControl w:val="0"/>
        <w:autoSpaceDE w:val="0"/>
        <w:autoSpaceDN w:val="0"/>
        <w:adjustRightInd w:val="0"/>
        <w:ind w:left="360" w:right="-998"/>
        <w:jc w:val="both"/>
        <w:rPr>
          <w:rFonts w:ascii="Times New Roman" w:hAnsi="Times New Roman" w:cs="Times New Roman"/>
          <w:sz w:val="32"/>
          <w:szCs w:val="32"/>
        </w:rPr>
      </w:pPr>
      <w:r>
        <w:rPr>
          <w:rFonts w:ascii="Times New Roman" w:hAnsi="Times New Roman" w:cs="Times New Roman"/>
          <w:sz w:val="32"/>
          <w:szCs w:val="32"/>
        </w:rPr>
        <w:t>Questioni “doppiamente pregiudiziali”</w:t>
      </w:r>
      <w:r>
        <w:rPr>
          <w:rFonts w:ascii="Times New Roman" w:hAnsi="Times New Roman" w:cs="Times New Roman"/>
          <w:sz w:val="32"/>
          <w:szCs w:val="32"/>
        </w:rPr>
        <w:t>.</w:t>
      </w:r>
    </w:p>
    <w:p w14:paraId="6681D4F0" w14:textId="77777777" w:rsidR="00426C94" w:rsidRDefault="00426C94" w:rsidP="00426C94">
      <w:pPr>
        <w:widowControl w:val="0"/>
        <w:autoSpaceDE w:val="0"/>
        <w:autoSpaceDN w:val="0"/>
        <w:adjustRightInd w:val="0"/>
        <w:ind w:right="-998"/>
        <w:jc w:val="both"/>
        <w:rPr>
          <w:rFonts w:ascii="Times New Roman" w:hAnsi="Times New Roman" w:cs="Times New Roman"/>
          <w:sz w:val="32"/>
          <w:szCs w:val="32"/>
        </w:rPr>
      </w:pPr>
      <w:r>
        <w:rPr>
          <w:rFonts w:ascii="Times New Roman" w:hAnsi="Times New Roman" w:cs="Times New Roman"/>
          <w:sz w:val="32"/>
          <w:szCs w:val="32"/>
        </w:rPr>
        <w:t xml:space="preserve">Corte cost per lungo tempo si è rifiutata di operare il rinvio pregiudiziale: con </w:t>
      </w:r>
      <w:proofErr w:type="spellStart"/>
      <w:r>
        <w:rPr>
          <w:rFonts w:ascii="Times New Roman" w:hAnsi="Times New Roman" w:cs="Times New Roman"/>
          <w:sz w:val="32"/>
          <w:szCs w:val="32"/>
        </w:rPr>
        <w:t>ord</w:t>
      </w:r>
      <w:proofErr w:type="spellEnd"/>
      <w:r>
        <w:rPr>
          <w:rFonts w:ascii="Times New Roman" w:hAnsi="Times New Roman" w:cs="Times New Roman"/>
          <w:sz w:val="32"/>
          <w:szCs w:val="32"/>
        </w:rPr>
        <w:t xml:space="preserve">. 103/2008 primo rinvio nel giudizio in via principale e con </w:t>
      </w:r>
      <w:proofErr w:type="spellStart"/>
      <w:r>
        <w:rPr>
          <w:rFonts w:ascii="Times New Roman" w:hAnsi="Times New Roman" w:cs="Times New Roman"/>
          <w:sz w:val="32"/>
          <w:szCs w:val="32"/>
        </w:rPr>
        <w:t>ord</w:t>
      </w:r>
      <w:proofErr w:type="spellEnd"/>
      <w:r>
        <w:rPr>
          <w:rFonts w:ascii="Times New Roman" w:hAnsi="Times New Roman" w:cs="Times New Roman"/>
          <w:sz w:val="32"/>
          <w:szCs w:val="32"/>
        </w:rPr>
        <w:t>. 207/2013 primo rinvio nel giudizio in via incidentale.</w:t>
      </w:r>
    </w:p>
    <w:p w14:paraId="1DD2E3CA" w14:textId="77777777" w:rsidR="00426C94" w:rsidRDefault="00426C94" w:rsidP="00426C94">
      <w:pPr>
        <w:widowControl w:val="0"/>
        <w:autoSpaceDE w:val="0"/>
        <w:autoSpaceDN w:val="0"/>
        <w:adjustRightInd w:val="0"/>
        <w:ind w:left="360" w:right="-998"/>
        <w:jc w:val="both"/>
        <w:rPr>
          <w:rFonts w:ascii="Times New Roman" w:hAnsi="Times New Roman" w:cs="Times New Roman"/>
          <w:sz w:val="32"/>
          <w:szCs w:val="32"/>
        </w:rPr>
      </w:pPr>
    </w:p>
    <w:p w14:paraId="7D7DEBBC" w14:textId="77777777" w:rsidR="00426C94" w:rsidRPr="00EF6514" w:rsidRDefault="00426C94" w:rsidP="00677D89">
      <w:pPr>
        <w:widowControl w:val="0"/>
        <w:autoSpaceDE w:val="0"/>
        <w:autoSpaceDN w:val="0"/>
        <w:adjustRightInd w:val="0"/>
        <w:ind w:right="-998"/>
        <w:jc w:val="both"/>
        <w:rPr>
          <w:rFonts w:ascii="Times New Roman" w:hAnsi="Times New Roman" w:cs="Times New Roman"/>
          <w:sz w:val="32"/>
          <w:szCs w:val="32"/>
        </w:rPr>
      </w:pPr>
    </w:p>
    <w:p w14:paraId="63AD0BD7" w14:textId="77777777" w:rsidR="00F6764D" w:rsidRDefault="00F6764D" w:rsidP="00677D89">
      <w:pPr>
        <w:widowControl w:val="0"/>
        <w:autoSpaceDE w:val="0"/>
        <w:autoSpaceDN w:val="0"/>
        <w:adjustRightInd w:val="0"/>
        <w:ind w:right="-998"/>
        <w:jc w:val="both"/>
        <w:rPr>
          <w:rFonts w:ascii="Times New Roman" w:hAnsi="Times New Roman" w:cs="Times New Roman"/>
          <w:sz w:val="32"/>
          <w:szCs w:val="32"/>
        </w:rPr>
      </w:pPr>
    </w:p>
    <w:p w14:paraId="33412DE7" w14:textId="77777777" w:rsidR="00F6764D" w:rsidRDefault="00F6764D" w:rsidP="00677D89">
      <w:pPr>
        <w:widowControl w:val="0"/>
        <w:autoSpaceDE w:val="0"/>
        <w:autoSpaceDN w:val="0"/>
        <w:adjustRightInd w:val="0"/>
        <w:ind w:right="-998"/>
        <w:jc w:val="both"/>
        <w:rPr>
          <w:rFonts w:ascii="Times New Roman" w:hAnsi="Times New Roman" w:cs="Times New Roman"/>
          <w:sz w:val="32"/>
          <w:szCs w:val="32"/>
        </w:rPr>
      </w:pPr>
      <w:r>
        <w:rPr>
          <w:rFonts w:ascii="Times New Roman" w:hAnsi="Times New Roman" w:cs="Times New Roman"/>
          <w:sz w:val="32"/>
          <w:szCs w:val="32"/>
        </w:rPr>
        <w:t>OGGETTO</w:t>
      </w:r>
    </w:p>
    <w:p w14:paraId="668ABC13" w14:textId="77777777" w:rsidR="00F6764D" w:rsidRDefault="00F6764D" w:rsidP="00677D89">
      <w:pPr>
        <w:widowControl w:val="0"/>
        <w:autoSpaceDE w:val="0"/>
        <w:autoSpaceDN w:val="0"/>
        <w:adjustRightInd w:val="0"/>
        <w:ind w:right="-998"/>
        <w:jc w:val="both"/>
        <w:rPr>
          <w:rFonts w:ascii="Times New Roman" w:hAnsi="Times New Roman" w:cs="Times New Roman"/>
          <w:sz w:val="32"/>
          <w:szCs w:val="32"/>
        </w:rPr>
      </w:pPr>
      <w:r>
        <w:rPr>
          <w:rFonts w:ascii="Times New Roman" w:hAnsi="Times New Roman" w:cs="Times New Roman"/>
          <w:sz w:val="32"/>
          <w:szCs w:val="32"/>
        </w:rPr>
        <w:t xml:space="preserve">Distinguere tra giurisdizione CGE su atti europei (contrastanti con i trattati) e giurisdizione CGE (diretta o indiretta) su atti italiani. </w:t>
      </w:r>
    </w:p>
    <w:p w14:paraId="735E17D7" w14:textId="11D22532" w:rsidR="00F6764D" w:rsidRDefault="00F6764D" w:rsidP="00677D89">
      <w:pPr>
        <w:widowControl w:val="0"/>
        <w:autoSpaceDE w:val="0"/>
        <w:autoSpaceDN w:val="0"/>
        <w:adjustRightInd w:val="0"/>
        <w:ind w:right="-998"/>
        <w:jc w:val="both"/>
        <w:rPr>
          <w:rFonts w:ascii="Times New Roman" w:hAnsi="Times New Roman" w:cs="Times New Roman"/>
          <w:sz w:val="32"/>
          <w:szCs w:val="32"/>
        </w:rPr>
      </w:pPr>
      <w:r>
        <w:rPr>
          <w:rFonts w:ascii="Times New Roman" w:hAnsi="Times New Roman" w:cs="Times New Roman"/>
          <w:sz w:val="32"/>
          <w:szCs w:val="32"/>
        </w:rPr>
        <w:t>CGE giudica degli atti europei a seguito di ricorso per annullamento e di rinvio pregiudiziale di validità; si pronuncia sugli atti interni o in sede di ricorso per infrazione (proposto dalla Commissione o da altro Stato membro) o, indirettamente, con il rinvio pregiudiziale interpretativo.</w:t>
      </w:r>
    </w:p>
    <w:p w14:paraId="7BC5855E" w14:textId="77777777" w:rsidR="00F6764D" w:rsidRDefault="00F6764D" w:rsidP="00677D89">
      <w:pPr>
        <w:widowControl w:val="0"/>
        <w:autoSpaceDE w:val="0"/>
        <w:autoSpaceDN w:val="0"/>
        <w:adjustRightInd w:val="0"/>
        <w:ind w:right="-998"/>
        <w:jc w:val="both"/>
        <w:rPr>
          <w:rFonts w:ascii="Times New Roman" w:hAnsi="Times New Roman" w:cs="Times New Roman"/>
          <w:sz w:val="32"/>
          <w:szCs w:val="32"/>
        </w:rPr>
      </w:pPr>
    </w:p>
    <w:p w14:paraId="639A6780" w14:textId="77777777" w:rsidR="00F6764D" w:rsidRDefault="00F6764D" w:rsidP="007C44BB">
      <w:pPr>
        <w:widowControl w:val="0"/>
        <w:autoSpaceDE w:val="0"/>
        <w:autoSpaceDN w:val="0"/>
        <w:adjustRightInd w:val="0"/>
        <w:ind w:right="-998"/>
        <w:jc w:val="both"/>
        <w:rPr>
          <w:rFonts w:ascii="Times New Roman" w:hAnsi="Times New Roman" w:cs="Times New Roman"/>
          <w:sz w:val="32"/>
          <w:szCs w:val="32"/>
        </w:rPr>
      </w:pPr>
      <w:r>
        <w:rPr>
          <w:rFonts w:ascii="Times New Roman" w:hAnsi="Times New Roman" w:cs="Times New Roman"/>
          <w:sz w:val="32"/>
          <w:szCs w:val="32"/>
        </w:rPr>
        <w:t>PARAMETRO</w:t>
      </w:r>
    </w:p>
    <w:p w14:paraId="3581792F" w14:textId="77777777" w:rsidR="00F6764D" w:rsidRDefault="00F6764D" w:rsidP="007C44BB">
      <w:pPr>
        <w:widowControl w:val="0"/>
        <w:autoSpaceDE w:val="0"/>
        <w:autoSpaceDN w:val="0"/>
        <w:adjustRightInd w:val="0"/>
        <w:ind w:right="-998"/>
        <w:jc w:val="both"/>
        <w:rPr>
          <w:rFonts w:ascii="Times New Roman" w:hAnsi="Times New Roman" w:cs="Times New Roman"/>
          <w:sz w:val="32"/>
          <w:szCs w:val="32"/>
        </w:rPr>
      </w:pPr>
      <w:r>
        <w:rPr>
          <w:rFonts w:ascii="Times New Roman" w:hAnsi="Times New Roman" w:cs="Times New Roman"/>
          <w:sz w:val="32"/>
          <w:szCs w:val="32"/>
        </w:rPr>
        <w:t xml:space="preserve">Tutela dei diritti fondamentali in ambito Ue: </w:t>
      </w:r>
    </w:p>
    <w:p w14:paraId="4312D831" w14:textId="2D8A0704" w:rsidR="00F6764D" w:rsidRDefault="00F6764D" w:rsidP="007C44BB">
      <w:pPr>
        <w:widowControl w:val="0"/>
        <w:numPr>
          <w:ilvl w:val="0"/>
          <w:numId w:val="1"/>
        </w:numPr>
        <w:autoSpaceDE w:val="0"/>
        <w:autoSpaceDN w:val="0"/>
        <w:adjustRightInd w:val="0"/>
        <w:ind w:left="820" w:right="-998" w:hanging="460"/>
        <w:jc w:val="both"/>
        <w:rPr>
          <w:rFonts w:ascii="Times New Roman" w:hAnsi="Times New Roman" w:cs="Times New Roman"/>
          <w:sz w:val="32"/>
          <w:szCs w:val="32"/>
        </w:rPr>
      </w:pPr>
      <w:r>
        <w:rPr>
          <w:rFonts w:ascii="Times New Roman" w:hAnsi="Times New Roman" w:cs="Times New Roman"/>
          <w:sz w:val="32"/>
          <w:szCs w:val="32"/>
        </w:rPr>
        <w:tab/>
        <w:t xml:space="preserve">in via giurisprudenziale si stabilisce che i diritti risultanti dalle “tradizioni costituzionali comuni” e dalla </w:t>
      </w:r>
      <w:proofErr w:type="spellStart"/>
      <w:r>
        <w:rPr>
          <w:rFonts w:ascii="Times New Roman" w:hAnsi="Times New Roman" w:cs="Times New Roman"/>
          <w:sz w:val="32"/>
          <w:szCs w:val="32"/>
        </w:rPr>
        <w:t>Cedu</w:t>
      </w:r>
      <w:proofErr w:type="spellEnd"/>
      <w:r>
        <w:rPr>
          <w:rFonts w:ascii="Times New Roman" w:hAnsi="Times New Roman" w:cs="Times New Roman"/>
          <w:sz w:val="32"/>
          <w:szCs w:val="32"/>
        </w:rPr>
        <w:t xml:space="preserve"> fanno parte dei principi generali comunitari;</w:t>
      </w:r>
    </w:p>
    <w:p w14:paraId="44FC9AA7" w14:textId="77777777" w:rsidR="00F6764D" w:rsidRDefault="00F6764D" w:rsidP="007C44BB">
      <w:pPr>
        <w:widowControl w:val="0"/>
        <w:numPr>
          <w:ilvl w:val="0"/>
          <w:numId w:val="1"/>
        </w:numPr>
        <w:autoSpaceDE w:val="0"/>
        <w:autoSpaceDN w:val="0"/>
        <w:adjustRightInd w:val="0"/>
        <w:ind w:left="820" w:right="-998" w:hanging="460"/>
        <w:jc w:val="both"/>
        <w:rPr>
          <w:rFonts w:ascii="Times New Roman" w:hAnsi="Times New Roman" w:cs="Times New Roman"/>
          <w:sz w:val="32"/>
          <w:szCs w:val="32"/>
        </w:rPr>
      </w:pPr>
      <w:r>
        <w:rPr>
          <w:rFonts w:ascii="Times New Roman" w:hAnsi="Times New Roman" w:cs="Times New Roman"/>
          <w:sz w:val="32"/>
          <w:szCs w:val="32"/>
        </w:rPr>
        <w:tab/>
        <w:t>nel 1992 art. 6 Trattato di Maastricht (istitutivo di Ue) lo ribadisce (si codifica meccanismo recettizio);</w:t>
      </w:r>
    </w:p>
    <w:p w14:paraId="29C5E41E" w14:textId="7BDFD13A" w:rsidR="00F6764D" w:rsidRDefault="00F6764D" w:rsidP="007C44BB">
      <w:pPr>
        <w:widowControl w:val="0"/>
        <w:numPr>
          <w:ilvl w:val="0"/>
          <w:numId w:val="1"/>
        </w:numPr>
        <w:autoSpaceDE w:val="0"/>
        <w:autoSpaceDN w:val="0"/>
        <w:adjustRightInd w:val="0"/>
        <w:ind w:left="820" w:right="-998" w:hanging="460"/>
        <w:jc w:val="both"/>
        <w:rPr>
          <w:rFonts w:ascii="Times New Roman" w:hAnsi="Times New Roman" w:cs="Times New Roman"/>
          <w:sz w:val="32"/>
          <w:szCs w:val="32"/>
        </w:rPr>
      </w:pPr>
      <w:r>
        <w:rPr>
          <w:rFonts w:ascii="Times New Roman" w:hAnsi="Times New Roman" w:cs="Times New Roman"/>
          <w:sz w:val="32"/>
          <w:szCs w:val="32"/>
        </w:rPr>
        <w:tab/>
        <w:t>nel 2000 viene adottata a Nizza la Carta dei diritti fondamentali dell’UE, che acquista lo stesso valore giuridico dei trattati l’1.12.2009, con l’entrata in vigore del Trattato di Lisbona (si codificano i singoli diritti, cioè il risultato della giurisprudenza della CGE)</w:t>
      </w:r>
      <w:r w:rsidR="00426C94">
        <w:rPr>
          <w:rFonts w:ascii="Times New Roman" w:hAnsi="Times New Roman" w:cs="Times New Roman"/>
          <w:sz w:val="32"/>
          <w:szCs w:val="32"/>
        </w:rPr>
        <w:t>.</w:t>
      </w:r>
      <w:r>
        <w:rPr>
          <w:rFonts w:ascii="Times New Roman" w:hAnsi="Times New Roman" w:cs="Times New Roman"/>
          <w:sz w:val="32"/>
          <w:szCs w:val="32"/>
        </w:rPr>
        <w:t xml:space="preserve"> </w:t>
      </w:r>
    </w:p>
    <w:p w14:paraId="02320341" w14:textId="77777777" w:rsidR="00F6764D" w:rsidRDefault="00F6764D" w:rsidP="002F47D9">
      <w:pPr>
        <w:widowControl w:val="0"/>
        <w:autoSpaceDE w:val="0"/>
        <w:autoSpaceDN w:val="0"/>
        <w:adjustRightInd w:val="0"/>
        <w:ind w:left="820" w:right="-998"/>
        <w:jc w:val="both"/>
        <w:rPr>
          <w:rFonts w:ascii="Times New Roman" w:hAnsi="Times New Roman" w:cs="Times New Roman"/>
          <w:sz w:val="32"/>
          <w:szCs w:val="32"/>
        </w:rPr>
      </w:pPr>
    </w:p>
    <w:p w14:paraId="53B387CA" w14:textId="0D41BA05" w:rsidR="00F6764D" w:rsidRDefault="00F6764D" w:rsidP="002F47D9">
      <w:pPr>
        <w:widowControl w:val="0"/>
        <w:autoSpaceDE w:val="0"/>
        <w:autoSpaceDN w:val="0"/>
        <w:adjustRightInd w:val="0"/>
        <w:ind w:left="820" w:right="-998"/>
        <w:jc w:val="both"/>
        <w:rPr>
          <w:rFonts w:ascii="Times New Roman" w:hAnsi="Times New Roman" w:cs="Times New Roman"/>
          <w:sz w:val="32"/>
          <w:szCs w:val="32"/>
        </w:rPr>
      </w:pPr>
      <w:r>
        <w:rPr>
          <w:rFonts w:ascii="Times New Roman" w:hAnsi="Times New Roman" w:cs="Times New Roman"/>
          <w:sz w:val="32"/>
          <w:szCs w:val="32"/>
        </w:rPr>
        <w:t>V. artt. 51, 52 e 53 della Carta.</w:t>
      </w:r>
    </w:p>
    <w:p w14:paraId="296D2C8C" w14:textId="77777777" w:rsidR="00F6764D" w:rsidRDefault="00F6764D" w:rsidP="002F47D9">
      <w:pPr>
        <w:widowControl w:val="0"/>
        <w:autoSpaceDE w:val="0"/>
        <w:autoSpaceDN w:val="0"/>
        <w:adjustRightInd w:val="0"/>
        <w:ind w:left="820" w:right="-998"/>
        <w:jc w:val="both"/>
        <w:rPr>
          <w:rFonts w:ascii="Times New Roman" w:hAnsi="Times New Roman" w:cs="Times New Roman"/>
          <w:sz w:val="32"/>
          <w:szCs w:val="32"/>
        </w:rPr>
      </w:pPr>
    </w:p>
    <w:p w14:paraId="5C52D15F" w14:textId="77777777" w:rsidR="00F6764D" w:rsidRDefault="00F6764D" w:rsidP="007C44BB">
      <w:pPr>
        <w:widowControl w:val="0"/>
        <w:autoSpaceDE w:val="0"/>
        <w:autoSpaceDN w:val="0"/>
        <w:adjustRightInd w:val="0"/>
        <w:ind w:right="-998"/>
        <w:jc w:val="both"/>
        <w:rPr>
          <w:rFonts w:ascii="Times New Roman" w:hAnsi="Times New Roman" w:cs="Times New Roman"/>
          <w:sz w:val="32"/>
          <w:szCs w:val="32"/>
        </w:rPr>
      </w:pPr>
    </w:p>
    <w:p w14:paraId="70371388" w14:textId="546AA6BD" w:rsidR="00F6764D" w:rsidRDefault="00F6764D" w:rsidP="00F47C81">
      <w:pPr>
        <w:widowControl w:val="0"/>
        <w:autoSpaceDE w:val="0"/>
        <w:autoSpaceDN w:val="0"/>
        <w:adjustRightInd w:val="0"/>
        <w:jc w:val="both"/>
        <w:rPr>
          <w:rFonts w:ascii="Times New Roman" w:hAnsi="Times New Roman" w:cs="Times New Roman"/>
          <w:sz w:val="32"/>
          <w:szCs w:val="32"/>
        </w:rPr>
      </w:pPr>
      <w:r>
        <w:rPr>
          <w:rFonts w:ascii="Times New Roman" w:hAnsi="Times New Roman" w:cs="Times New Roman"/>
          <w:sz w:val="32"/>
          <w:szCs w:val="32"/>
        </w:rPr>
        <w:t>Poiché la Carta dei diritti h</w:t>
      </w:r>
      <w:r w:rsidRPr="00F47C81">
        <w:rPr>
          <w:rFonts w:ascii="Times New Roman" w:hAnsi="Times New Roman" w:cs="Times New Roman"/>
          <w:sz w:val="32"/>
          <w:szCs w:val="32"/>
        </w:rPr>
        <w:t>a contenuto simile alla Costituzione, la sua parificazione ai trattati apre due possibili scenari: a) sindacato “diffuso” dei giudici italiani, se le norme della Carta sono ritenute direttamente applicabili; b) rinvio pregiudiziale a CGE verrebbe ad</w:t>
      </w:r>
      <w:r>
        <w:rPr>
          <w:rFonts w:ascii="Times New Roman" w:hAnsi="Times New Roman" w:cs="Times New Roman"/>
          <w:sz w:val="32"/>
          <w:szCs w:val="32"/>
        </w:rPr>
        <w:t xml:space="preserve"> </w:t>
      </w:r>
      <w:r w:rsidRPr="00F47C81">
        <w:rPr>
          <w:rFonts w:ascii="Times New Roman" w:hAnsi="Times New Roman" w:cs="Times New Roman"/>
          <w:sz w:val="32"/>
          <w:szCs w:val="32"/>
        </w:rPr>
        <w:t>assomigliare sempre più ad un “incidente di costituzionalità” sotto diverso nome,</w:t>
      </w:r>
      <w:r>
        <w:rPr>
          <w:rFonts w:ascii="Times New Roman" w:hAnsi="Times New Roman" w:cs="Times New Roman"/>
          <w:sz w:val="32"/>
          <w:szCs w:val="32"/>
        </w:rPr>
        <w:t xml:space="preserve"> </w:t>
      </w:r>
      <w:r w:rsidRPr="00F47C81">
        <w:rPr>
          <w:rFonts w:ascii="Times New Roman" w:hAnsi="Times New Roman" w:cs="Times New Roman"/>
          <w:sz w:val="32"/>
          <w:szCs w:val="32"/>
        </w:rPr>
        <w:t>diverso parametro e diverso giudice</w:t>
      </w:r>
      <w:r>
        <w:rPr>
          <w:rFonts w:ascii="Times New Roman" w:hAnsi="Times New Roman" w:cs="Times New Roman"/>
          <w:sz w:val="32"/>
          <w:szCs w:val="32"/>
        </w:rPr>
        <w:t>.</w:t>
      </w:r>
    </w:p>
    <w:p w14:paraId="0BF54970" w14:textId="77777777" w:rsidR="00F6764D" w:rsidRDefault="00F6764D" w:rsidP="00F47C81">
      <w:pPr>
        <w:widowControl w:val="0"/>
        <w:autoSpaceDE w:val="0"/>
        <w:autoSpaceDN w:val="0"/>
        <w:adjustRightInd w:val="0"/>
        <w:jc w:val="both"/>
        <w:rPr>
          <w:rFonts w:ascii="Times New Roman" w:hAnsi="Times New Roman" w:cs="Times New Roman"/>
          <w:sz w:val="32"/>
          <w:szCs w:val="32"/>
        </w:rPr>
      </w:pPr>
    </w:p>
    <w:p w14:paraId="5C0EF912" w14:textId="77777777" w:rsidR="00F6764D" w:rsidRDefault="00F6764D" w:rsidP="00F47C81">
      <w:pPr>
        <w:widowControl w:val="0"/>
        <w:autoSpaceDE w:val="0"/>
        <w:autoSpaceDN w:val="0"/>
        <w:adjustRightInd w:val="0"/>
        <w:jc w:val="both"/>
        <w:rPr>
          <w:rFonts w:ascii="Times New Roman" w:hAnsi="Times New Roman" w:cs="Times New Roman"/>
          <w:sz w:val="32"/>
          <w:szCs w:val="32"/>
        </w:rPr>
      </w:pPr>
      <w:r>
        <w:rPr>
          <w:rFonts w:ascii="Times New Roman" w:hAnsi="Times New Roman" w:cs="Times New Roman"/>
          <w:sz w:val="32"/>
          <w:szCs w:val="32"/>
        </w:rPr>
        <w:t>EFFETTI DELLE DECISIONI</w:t>
      </w:r>
    </w:p>
    <w:p w14:paraId="457607E6" w14:textId="77777777" w:rsidR="00F6764D" w:rsidRDefault="00F6764D" w:rsidP="00F47C81">
      <w:pPr>
        <w:widowControl w:val="0"/>
        <w:autoSpaceDE w:val="0"/>
        <w:autoSpaceDN w:val="0"/>
        <w:adjustRightInd w:val="0"/>
        <w:jc w:val="both"/>
        <w:rPr>
          <w:rFonts w:ascii="Times New Roman" w:hAnsi="Times New Roman" w:cs="Times New Roman"/>
          <w:sz w:val="32"/>
          <w:szCs w:val="32"/>
        </w:rPr>
      </w:pPr>
    </w:p>
    <w:p w14:paraId="5C19CCA8" w14:textId="77777777" w:rsidR="00F6764D" w:rsidRDefault="00F6764D" w:rsidP="00123783">
      <w:pPr>
        <w:widowControl w:val="0"/>
        <w:autoSpaceDE w:val="0"/>
        <w:autoSpaceDN w:val="0"/>
        <w:adjustRightInd w:val="0"/>
        <w:jc w:val="both"/>
        <w:rPr>
          <w:rFonts w:ascii="Times New Roman" w:hAnsi="Times New Roman" w:cs="Times New Roman"/>
          <w:sz w:val="32"/>
          <w:szCs w:val="32"/>
        </w:rPr>
      </w:pPr>
      <w:r>
        <w:rPr>
          <w:rFonts w:ascii="Times New Roman" w:hAnsi="Times New Roman" w:cs="Times New Roman"/>
          <w:sz w:val="32"/>
          <w:szCs w:val="32"/>
        </w:rPr>
        <w:t xml:space="preserve">Le sentenze della CGE hanno effetti </w:t>
      </w:r>
      <w:r>
        <w:rPr>
          <w:rFonts w:ascii="Times New Roman" w:hAnsi="Times New Roman" w:cs="Times New Roman"/>
          <w:i/>
          <w:sz w:val="32"/>
          <w:szCs w:val="32"/>
        </w:rPr>
        <w:t xml:space="preserve">erga omnes. </w:t>
      </w:r>
      <w:r>
        <w:rPr>
          <w:rFonts w:ascii="Times New Roman" w:hAnsi="Times New Roman" w:cs="Times New Roman"/>
          <w:sz w:val="32"/>
          <w:szCs w:val="32"/>
        </w:rPr>
        <w:t>Nelle p</w:t>
      </w:r>
      <w:r w:rsidRPr="00123783">
        <w:rPr>
          <w:rFonts w:ascii="Times New Roman" w:hAnsi="Times New Roman" w:cs="Times New Roman"/>
          <w:sz w:val="32"/>
          <w:szCs w:val="32"/>
        </w:rPr>
        <w:t xml:space="preserve">rocedure di infrazione, la Commissione (che di regola è attrice) agisce nell’interesse </w:t>
      </w:r>
      <w:r>
        <w:rPr>
          <w:rFonts w:ascii="Times New Roman" w:hAnsi="Times New Roman" w:cs="Times New Roman"/>
          <w:sz w:val="32"/>
          <w:szCs w:val="32"/>
        </w:rPr>
        <w:t>dell’Ue</w:t>
      </w:r>
      <w:r w:rsidRPr="00123783">
        <w:rPr>
          <w:rFonts w:ascii="Times New Roman" w:hAnsi="Times New Roman" w:cs="Times New Roman"/>
          <w:sz w:val="32"/>
          <w:szCs w:val="32"/>
        </w:rPr>
        <w:t>: la decisione adottata dalla Corte</w:t>
      </w:r>
      <w:r>
        <w:rPr>
          <w:rFonts w:ascii="Times New Roman" w:hAnsi="Times New Roman" w:cs="Times New Roman"/>
          <w:sz w:val="32"/>
          <w:szCs w:val="32"/>
        </w:rPr>
        <w:t xml:space="preserve"> di giustizia ha </w:t>
      </w:r>
      <w:proofErr w:type="spellStart"/>
      <w:r>
        <w:rPr>
          <w:rFonts w:ascii="Times New Roman" w:hAnsi="Times New Roman" w:cs="Times New Roman"/>
          <w:i/>
          <w:sz w:val="32"/>
          <w:szCs w:val="32"/>
        </w:rPr>
        <w:t>naturaliter</w:t>
      </w:r>
      <w:proofErr w:type="spellEnd"/>
      <w:r w:rsidRPr="00123783">
        <w:rPr>
          <w:rFonts w:ascii="Times New Roman" w:hAnsi="Times New Roman" w:cs="Times New Roman"/>
          <w:sz w:val="32"/>
          <w:szCs w:val="32"/>
        </w:rPr>
        <w:t xml:space="preserve"> una portata che va oltre l’interesse del singolo Stato membro</w:t>
      </w:r>
      <w:r>
        <w:rPr>
          <w:rFonts w:ascii="Times New Roman" w:hAnsi="Times New Roman" w:cs="Times New Roman"/>
          <w:sz w:val="32"/>
          <w:szCs w:val="32"/>
        </w:rPr>
        <w:t>.</w:t>
      </w:r>
    </w:p>
    <w:p w14:paraId="64CD3B85" w14:textId="5F850CD6" w:rsidR="00F6764D" w:rsidRPr="00153E73" w:rsidRDefault="00F6764D" w:rsidP="00153E73">
      <w:pPr>
        <w:widowControl w:val="0"/>
        <w:autoSpaceDE w:val="0"/>
        <w:autoSpaceDN w:val="0"/>
        <w:adjustRightInd w:val="0"/>
        <w:jc w:val="both"/>
        <w:rPr>
          <w:rFonts w:ascii="Times New Roman" w:hAnsi="Times New Roman" w:cs="Times New Roman"/>
          <w:sz w:val="32"/>
          <w:szCs w:val="32"/>
        </w:rPr>
      </w:pPr>
      <w:r w:rsidRPr="00153E73">
        <w:rPr>
          <w:rFonts w:ascii="Times New Roman" w:hAnsi="Times New Roman" w:cs="Times New Roman"/>
          <w:sz w:val="32"/>
          <w:szCs w:val="32"/>
        </w:rPr>
        <w:lastRenderedPageBreak/>
        <w:t xml:space="preserve">Invece, l’efficacia </w:t>
      </w:r>
      <w:r w:rsidRPr="00153E73">
        <w:rPr>
          <w:rFonts w:ascii="Times New Roman" w:hAnsi="Times New Roman" w:cs="Times New Roman"/>
          <w:i/>
          <w:sz w:val="32"/>
          <w:szCs w:val="32"/>
        </w:rPr>
        <w:t>erga omnes</w:t>
      </w:r>
      <w:r w:rsidRPr="00153E73">
        <w:rPr>
          <w:rFonts w:ascii="Times New Roman" w:hAnsi="Times New Roman" w:cs="Times New Roman"/>
          <w:sz w:val="32"/>
          <w:szCs w:val="32"/>
        </w:rPr>
        <w:t xml:space="preserve"> delle decisioni adottate a seguito di una procedura di rinv</w:t>
      </w:r>
      <w:r>
        <w:rPr>
          <w:rFonts w:ascii="Times New Roman" w:hAnsi="Times New Roman" w:cs="Times New Roman"/>
          <w:sz w:val="32"/>
          <w:szCs w:val="32"/>
        </w:rPr>
        <w:t>io pregiudiziale è una conquista</w:t>
      </w:r>
      <w:r w:rsidRPr="00153E73">
        <w:rPr>
          <w:rFonts w:ascii="Times New Roman" w:hAnsi="Times New Roman" w:cs="Times New Roman"/>
          <w:sz w:val="32"/>
          <w:szCs w:val="32"/>
        </w:rPr>
        <w:t xml:space="preserve"> della giurisprudenza della CGE. CGE ha ammesso che i giudici nazionali di ultima istanza obbligati a sollevare un rinvio pregiudiziale di fronte alla Corte di giustizia, potessero astenersi dal farlo nel caso in cui «la questione fosse materialmente identica ad altra questione, sollevata in relazione ad analoga fattispecie, che sia già stata decisa in via pregiudiziale». Quella che sembrava essere una “concessione” ai giudici di grado più elevato degli Stati membri si è rivelata una trovata per legittimare la portata </w:t>
      </w:r>
      <w:r w:rsidRPr="00387922">
        <w:rPr>
          <w:rFonts w:ascii="Times New Roman" w:hAnsi="Times New Roman" w:cs="Times New Roman"/>
          <w:i/>
          <w:sz w:val="32"/>
          <w:szCs w:val="32"/>
        </w:rPr>
        <w:t xml:space="preserve">erga </w:t>
      </w:r>
      <w:proofErr w:type="spellStart"/>
      <w:r w:rsidRPr="00387922">
        <w:rPr>
          <w:rFonts w:ascii="Times New Roman" w:hAnsi="Times New Roman" w:cs="Times New Roman"/>
          <w:i/>
          <w:sz w:val="32"/>
          <w:szCs w:val="32"/>
        </w:rPr>
        <w:t>ommes</w:t>
      </w:r>
      <w:proofErr w:type="spellEnd"/>
      <w:r w:rsidRPr="00153E73">
        <w:rPr>
          <w:rFonts w:ascii="Times New Roman" w:hAnsi="Times New Roman" w:cs="Times New Roman"/>
          <w:sz w:val="32"/>
          <w:szCs w:val="32"/>
        </w:rPr>
        <w:t xml:space="preserve"> dei propri precedenti.</w:t>
      </w:r>
    </w:p>
    <w:p w14:paraId="30714C23" w14:textId="77777777" w:rsidR="00F6764D" w:rsidRDefault="00F6764D" w:rsidP="00C246CB">
      <w:pPr>
        <w:widowControl w:val="0"/>
        <w:autoSpaceDE w:val="0"/>
        <w:autoSpaceDN w:val="0"/>
        <w:adjustRightInd w:val="0"/>
        <w:ind w:right="-998"/>
        <w:jc w:val="both"/>
        <w:rPr>
          <w:rFonts w:ascii="Times New Roman" w:hAnsi="Times New Roman" w:cs="Times New Roman"/>
          <w:sz w:val="32"/>
          <w:szCs w:val="32"/>
        </w:rPr>
      </w:pPr>
    </w:p>
    <w:p w14:paraId="37096A00" w14:textId="77777777" w:rsidR="00F6764D" w:rsidRDefault="00F6764D" w:rsidP="00AE09C4">
      <w:pPr>
        <w:widowControl w:val="0"/>
        <w:autoSpaceDE w:val="0"/>
        <w:autoSpaceDN w:val="0"/>
        <w:adjustRightInd w:val="0"/>
        <w:ind w:left="360" w:right="-998"/>
        <w:jc w:val="both"/>
        <w:rPr>
          <w:rFonts w:ascii="Times New Roman" w:hAnsi="Times New Roman" w:cs="Times New Roman"/>
          <w:sz w:val="32"/>
          <w:szCs w:val="32"/>
        </w:rPr>
      </w:pPr>
      <w:r>
        <w:rPr>
          <w:rFonts w:ascii="Times New Roman" w:hAnsi="Times New Roman" w:cs="Times New Roman"/>
          <w:sz w:val="32"/>
          <w:szCs w:val="32"/>
        </w:rPr>
        <w:t>RAPPORTI TRA CGE E CORTE COSTITUZIONALE</w:t>
      </w:r>
    </w:p>
    <w:p w14:paraId="7F34529F" w14:textId="77777777" w:rsidR="00F6764D" w:rsidRDefault="00F6764D" w:rsidP="00AE09C4">
      <w:pPr>
        <w:widowControl w:val="0"/>
        <w:autoSpaceDE w:val="0"/>
        <w:autoSpaceDN w:val="0"/>
        <w:adjustRightInd w:val="0"/>
        <w:ind w:left="360" w:right="-998"/>
        <w:jc w:val="both"/>
        <w:rPr>
          <w:rFonts w:ascii="Times New Roman" w:hAnsi="Times New Roman" w:cs="Times New Roman"/>
          <w:sz w:val="32"/>
          <w:szCs w:val="32"/>
        </w:rPr>
      </w:pPr>
    </w:p>
    <w:p w14:paraId="155288B0" w14:textId="77777777" w:rsidR="00F6764D" w:rsidRDefault="00F6764D" w:rsidP="00AE09C4">
      <w:pPr>
        <w:widowControl w:val="0"/>
        <w:autoSpaceDE w:val="0"/>
        <w:autoSpaceDN w:val="0"/>
        <w:adjustRightInd w:val="0"/>
        <w:ind w:left="360" w:right="-998"/>
        <w:jc w:val="both"/>
        <w:rPr>
          <w:rFonts w:ascii="Times New Roman" w:hAnsi="Times New Roman" w:cs="Times New Roman"/>
          <w:sz w:val="32"/>
          <w:szCs w:val="32"/>
        </w:rPr>
      </w:pPr>
      <w:r>
        <w:rPr>
          <w:rFonts w:ascii="Times New Roman" w:hAnsi="Times New Roman" w:cs="Times New Roman"/>
          <w:sz w:val="32"/>
          <w:szCs w:val="32"/>
        </w:rPr>
        <w:t>CGE e Corte cost. hanno “dialogato” a lungo in relazione al rapporto tra fonti europee e fonti interne. Tesi monista della CGE e tesi dualista della Cc. “Cammino comunitario” della Cc. 3 fasi della giur. cost.: criterio cronologico, criterio gerarchico, criterio della competenza (</w:t>
      </w:r>
      <w:proofErr w:type="spellStart"/>
      <w:r>
        <w:rPr>
          <w:rFonts w:ascii="Times New Roman" w:hAnsi="Times New Roman" w:cs="Times New Roman"/>
          <w:sz w:val="32"/>
          <w:szCs w:val="32"/>
        </w:rPr>
        <w:t>sent</w:t>
      </w:r>
      <w:proofErr w:type="spellEnd"/>
      <w:r>
        <w:rPr>
          <w:rFonts w:ascii="Times New Roman" w:hAnsi="Times New Roman" w:cs="Times New Roman"/>
          <w:sz w:val="32"/>
          <w:szCs w:val="32"/>
        </w:rPr>
        <w:t>. 170/1984).</w:t>
      </w:r>
    </w:p>
    <w:p w14:paraId="06857669" w14:textId="7688B36D" w:rsidR="00426C94" w:rsidRDefault="00426C94" w:rsidP="00AE09C4">
      <w:pPr>
        <w:widowControl w:val="0"/>
        <w:autoSpaceDE w:val="0"/>
        <w:autoSpaceDN w:val="0"/>
        <w:adjustRightInd w:val="0"/>
        <w:ind w:left="360" w:right="-998"/>
        <w:jc w:val="both"/>
        <w:rPr>
          <w:rFonts w:ascii="Times New Roman" w:hAnsi="Times New Roman" w:cs="Times New Roman"/>
          <w:sz w:val="32"/>
          <w:szCs w:val="32"/>
        </w:rPr>
      </w:pPr>
      <w:r>
        <w:rPr>
          <w:rFonts w:ascii="Times New Roman" w:hAnsi="Times New Roman" w:cs="Times New Roman"/>
          <w:sz w:val="32"/>
          <w:szCs w:val="32"/>
        </w:rPr>
        <w:t xml:space="preserve">Secondo cammino comunitario della Cc (da </w:t>
      </w:r>
      <w:proofErr w:type="spellStart"/>
      <w:r>
        <w:rPr>
          <w:rFonts w:ascii="Times New Roman" w:hAnsi="Times New Roman" w:cs="Times New Roman"/>
          <w:sz w:val="32"/>
          <w:szCs w:val="32"/>
        </w:rPr>
        <w:t>sent</w:t>
      </w:r>
      <w:proofErr w:type="spellEnd"/>
      <w:r>
        <w:rPr>
          <w:rFonts w:ascii="Times New Roman" w:hAnsi="Times New Roman" w:cs="Times New Roman"/>
          <w:sz w:val="32"/>
          <w:szCs w:val="32"/>
        </w:rPr>
        <w:t>. 269/2017 in poi).</w:t>
      </w:r>
    </w:p>
    <w:p w14:paraId="1C45A8DC" w14:textId="77777777" w:rsidR="00426C94" w:rsidRDefault="00426C94" w:rsidP="00AE09C4">
      <w:pPr>
        <w:widowControl w:val="0"/>
        <w:autoSpaceDE w:val="0"/>
        <w:autoSpaceDN w:val="0"/>
        <w:adjustRightInd w:val="0"/>
        <w:ind w:left="360" w:right="-998"/>
        <w:jc w:val="both"/>
        <w:rPr>
          <w:rFonts w:ascii="Times New Roman" w:hAnsi="Times New Roman" w:cs="Times New Roman"/>
          <w:sz w:val="32"/>
          <w:szCs w:val="32"/>
        </w:rPr>
      </w:pPr>
    </w:p>
    <w:p w14:paraId="22563CF6" w14:textId="77777777" w:rsidR="00426C94" w:rsidRDefault="00426C94" w:rsidP="00426C94">
      <w:pPr>
        <w:widowControl w:val="0"/>
        <w:autoSpaceDE w:val="0"/>
        <w:autoSpaceDN w:val="0"/>
        <w:adjustRightInd w:val="0"/>
        <w:ind w:right="-998"/>
        <w:rPr>
          <w:rFonts w:ascii="Times New Roman" w:hAnsi="Times New Roman" w:cs="Times New Roman"/>
          <w:sz w:val="32"/>
          <w:szCs w:val="32"/>
        </w:rPr>
      </w:pPr>
      <w:r>
        <w:rPr>
          <w:rFonts w:ascii="Times New Roman" w:hAnsi="Times New Roman" w:cs="Times New Roman"/>
          <w:sz w:val="32"/>
          <w:szCs w:val="32"/>
        </w:rPr>
        <w:t>CONFRONTO CGE / CORTE EDU</w:t>
      </w:r>
    </w:p>
    <w:p w14:paraId="616D5F9D" w14:textId="77777777" w:rsidR="00426C94" w:rsidRDefault="00426C94" w:rsidP="00426C94">
      <w:pPr>
        <w:widowControl w:val="0"/>
        <w:autoSpaceDE w:val="0"/>
        <w:autoSpaceDN w:val="0"/>
        <w:adjustRightInd w:val="0"/>
        <w:ind w:right="-998"/>
        <w:rPr>
          <w:rFonts w:ascii="Times New Roman" w:hAnsi="Times New Roman" w:cs="Times New Roman"/>
          <w:sz w:val="32"/>
          <w:szCs w:val="32"/>
        </w:rPr>
      </w:pPr>
    </w:p>
    <w:p w14:paraId="1A528335" w14:textId="77777777" w:rsidR="00F6764D" w:rsidRDefault="00F6764D">
      <w:pPr>
        <w:rPr>
          <w:rFonts w:cs="Times New Roman"/>
        </w:rPr>
      </w:pPr>
    </w:p>
    <w:sectPr w:rsidR="00F6764D" w:rsidSect="00754C5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775D0" w14:textId="77777777" w:rsidR="00754C53" w:rsidRDefault="00754C53" w:rsidP="00092AA3">
      <w:r>
        <w:separator/>
      </w:r>
    </w:p>
  </w:endnote>
  <w:endnote w:type="continuationSeparator" w:id="0">
    <w:p w14:paraId="2C8B23F8" w14:textId="77777777" w:rsidR="00754C53" w:rsidRDefault="00754C53" w:rsidP="0009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panose1 w:val="020B0604020202020204"/>
    <w:charset w:val="80"/>
    <w:family w:val="auto"/>
    <w:notTrueType/>
    <w:pitch w:val="variable"/>
    <w:sig w:usb0="00000001" w:usb1="08070000" w:usb2="00000010" w:usb3="00000000" w:csb0="00020000" w:csb1="00000000"/>
  </w:font>
  <w:font w:name="Times">
    <w:altName w:val="Times New Roma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AEB06" w14:textId="77777777" w:rsidR="00754C53" w:rsidRDefault="00754C53" w:rsidP="00092AA3">
      <w:r>
        <w:separator/>
      </w:r>
    </w:p>
  </w:footnote>
  <w:footnote w:type="continuationSeparator" w:id="0">
    <w:p w14:paraId="1D6585BF" w14:textId="77777777" w:rsidR="00754C53" w:rsidRDefault="00754C53" w:rsidP="00092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489489162">
    <w:abstractNumId w:val="0"/>
  </w:num>
  <w:num w:numId="2" w16cid:durableId="79694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embedSystemFonts/>
  <w:proofState w:spelling="clean" w:grammar="clean"/>
  <w:defaultTabStop w:val="708"/>
  <w:hyphenationZone w:val="283"/>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89"/>
    <w:rsid w:val="00014555"/>
    <w:rsid w:val="000464F4"/>
    <w:rsid w:val="000634BE"/>
    <w:rsid w:val="00092AA3"/>
    <w:rsid w:val="00095193"/>
    <w:rsid w:val="000A44DE"/>
    <w:rsid w:val="000C1854"/>
    <w:rsid w:val="00123783"/>
    <w:rsid w:val="00153E73"/>
    <w:rsid w:val="00164AAF"/>
    <w:rsid w:val="0018281A"/>
    <w:rsid w:val="001C3874"/>
    <w:rsid w:val="001E238D"/>
    <w:rsid w:val="00250195"/>
    <w:rsid w:val="00273D69"/>
    <w:rsid w:val="00291DF5"/>
    <w:rsid w:val="002F47D9"/>
    <w:rsid w:val="003338A8"/>
    <w:rsid w:val="0035545F"/>
    <w:rsid w:val="00355ED3"/>
    <w:rsid w:val="00387922"/>
    <w:rsid w:val="00426C94"/>
    <w:rsid w:val="00471D60"/>
    <w:rsid w:val="00530EA1"/>
    <w:rsid w:val="0058402E"/>
    <w:rsid w:val="005D34E3"/>
    <w:rsid w:val="00645411"/>
    <w:rsid w:val="006526B6"/>
    <w:rsid w:val="00677D89"/>
    <w:rsid w:val="006A722A"/>
    <w:rsid w:val="006D589B"/>
    <w:rsid w:val="00725110"/>
    <w:rsid w:val="00754C53"/>
    <w:rsid w:val="0076151F"/>
    <w:rsid w:val="00780ECB"/>
    <w:rsid w:val="007C44BB"/>
    <w:rsid w:val="007C470B"/>
    <w:rsid w:val="007C5C41"/>
    <w:rsid w:val="007F1A04"/>
    <w:rsid w:val="007F1ACF"/>
    <w:rsid w:val="00857C20"/>
    <w:rsid w:val="008C39E4"/>
    <w:rsid w:val="008D59BD"/>
    <w:rsid w:val="008E2A58"/>
    <w:rsid w:val="00A64E68"/>
    <w:rsid w:val="00A82A70"/>
    <w:rsid w:val="00A90F85"/>
    <w:rsid w:val="00A97ED9"/>
    <w:rsid w:val="00AA7777"/>
    <w:rsid w:val="00AE09C4"/>
    <w:rsid w:val="00B306E0"/>
    <w:rsid w:val="00B312F3"/>
    <w:rsid w:val="00B448EA"/>
    <w:rsid w:val="00B670C1"/>
    <w:rsid w:val="00B67B2D"/>
    <w:rsid w:val="00B731B4"/>
    <w:rsid w:val="00BB505C"/>
    <w:rsid w:val="00C246CB"/>
    <w:rsid w:val="00C267FD"/>
    <w:rsid w:val="00C35558"/>
    <w:rsid w:val="00C77048"/>
    <w:rsid w:val="00C835BD"/>
    <w:rsid w:val="00CB1C11"/>
    <w:rsid w:val="00CF52EC"/>
    <w:rsid w:val="00D4093D"/>
    <w:rsid w:val="00D5002F"/>
    <w:rsid w:val="00D61CF1"/>
    <w:rsid w:val="00D9623C"/>
    <w:rsid w:val="00DB0862"/>
    <w:rsid w:val="00DB210E"/>
    <w:rsid w:val="00DB4E9F"/>
    <w:rsid w:val="00E64F3C"/>
    <w:rsid w:val="00E86C65"/>
    <w:rsid w:val="00EF6514"/>
    <w:rsid w:val="00F02BE2"/>
    <w:rsid w:val="00F054FA"/>
    <w:rsid w:val="00F3707E"/>
    <w:rsid w:val="00F43028"/>
    <w:rsid w:val="00F47C81"/>
    <w:rsid w:val="00F50960"/>
    <w:rsid w:val="00F6764D"/>
    <w:rsid w:val="00F724C0"/>
    <w:rsid w:val="00FD5F9C"/>
    <w:rsid w:val="00FE6C1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A788732"/>
  <w15:docId w15:val="{14F07DF9-7F5B-314C-9065-F25CC059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7D89"/>
    <w:rPr>
      <w:rFonts w:cs="Cambria"/>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rsid w:val="00A82A70"/>
    <w:rPr>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cs="Cambria"/>
      <w:sz w:val="20"/>
      <w:szCs w:val="20"/>
    </w:rPr>
  </w:style>
  <w:style w:type="character" w:styleId="Rimandonotaapidipagina">
    <w:name w:val="footnote reference"/>
    <w:basedOn w:val="Carpredefinitoparagrafo"/>
    <w:uiPriority w:val="99"/>
    <w:semiHidden/>
    <w:rsid w:val="00A82A70"/>
    <w:rPr>
      <w:rFonts w:cs="Times New Roman"/>
      <w:vertAlign w:val="superscript"/>
    </w:rPr>
  </w:style>
  <w:style w:type="paragraph" w:styleId="NormaleWeb">
    <w:name w:val="Normal (Web)"/>
    <w:basedOn w:val="Normale"/>
    <w:uiPriority w:val="99"/>
    <w:rsid w:val="008C39E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939437">
      <w:marLeft w:val="0"/>
      <w:marRight w:val="0"/>
      <w:marTop w:val="0"/>
      <w:marBottom w:val="0"/>
      <w:divBdr>
        <w:top w:val="none" w:sz="0" w:space="0" w:color="auto"/>
        <w:left w:val="none" w:sz="0" w:space="0" w:color="auto"/>
        <w:bottom w:val="none" w:sz="0" w:space="0" w:color="auto"/>
        <w:right w:val="none" w:sz="0" w:space="0" w:color="auto"/>
      </w:divBdr>
      <w:divsChild>
        <w:div w:id="2024939439">
          <w:marLeft w:val="0"/>
          <w:marRight w:val="0"/>
          <w:marTop w:val="0"/>
          <w:marBottom w:val="0"/>
          <w:divBdr>
            <w:top w:val="none" w:sz="0" w:space="0" w:color="auto"/>
            <w:left w:val="none" w:sz="0" w:space="0" w:color="auto"/>
            <w:bottom w:val="none" w:sz="0" w:space="0" w:color="auto"/>
            <w:right w:val="none" w:sz="0" w:space="0" w:color="auto"/>
          </w:divBdr>
          <w:divsChild>
            <w:div w:id="2024939438">
              <w:marLeft w:val="0"/>
              <w:marRight w:val="0"/>
              <w:marTop w:val="0"/>
              <w:marBottom w:val="0"/>
              <w:divBdr>
                <w:top w:val="none" w:sz="0" w:space="0" w:color="auto"/>
                <w:left w:val="none" w:sz="0" w:space="0" w:color="auto"/>
                <w:bottom w:val="none" w:sz="0" w:space="0" w:color="auto"/>
                <w:right w:val="none" w:sz="0" w:space="0" w:color="auto"/>
              </w:divBdr>
              <w:divsChild>
                <w:div w:id="20249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9442">
          <w:marLeft w:val="0"/>
          <w:marRight w:val="0"/>
          <w:marTop w:val="0"/>
          <w:marBottom w:val="0"/>
          <w:divBdr>
            <w:top w:val="none" w:sz="0" w:space="0" w:color="auto"/>
            <w:left w:val="none" w:sz="0" w:space="0" w:color="auto"/>
            <w:bottom w:val="none" w:sz="0" w:space="0" w:color="auto"/>
            <w:right w:val="none" w:sz="0" w:space="0" w:color="auto"/>
          </w:divBdr>
          <w:divsChild>
            <w:div w:id="2024939436">
              <w:marLeft w:val="0"/>
              <w:marRight w:val="0"/>
              <w:marTop w:val="0"/>
              <w:marBottom w:val="0"/>
              <w:divBdr>
                <w:top w:val="none" w:sz="0" w:space="0" w:color="auto"/>
                <w:left w:val="none" w:sz="0" w:space="0" w:color="auto"/>
                <w:bottom w:val="none" w:sz="0" w:space="0" w:color="auto"/>
                <w:right w:val="none" w:sz="0" w:space="0" w:color="auto"/>
              </w:divBdr>
              <w:divsChild>
                <w:div w:id="20249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945</Words>
  <Characters>5320</Characters>
  <Application>Microsoft Office Word</Application>
  <DocSecurity>0</DocSecurity>
  <Lines>44</Lines>
  <Paragraphs>12</Paragraphs>
  <ScaleCrop>false</ScaleCrop>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dc:creator>
  <cp:keywords/>
  <dc:description/>
  <cp:lastModifiedBy>Padula Carlo</cp:lastModifiedBy>
  <cp:revision>3</cp:revision>
  <dcterms:created xsi:type="dcterms:W3CDTF">2023-12-21T17:13:00Z</dcterms:created>
  <dcterms:modified xsi:type="dcterms:W3CDTF">2023-12-21T17:19:00Z</dcterms:modified>
</cp:coreProperties>
</file>