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7975" w14:textId="18DA2C3B" w:rsidR="009F482E" w:rsidRPr="009F482E" w:rsidRDefault="009F482E" w:rsidP="009F482E">
      <w:pPr>
        <w:shd w:val="clear" w:color="auto" w:fill="FFFFFF"/>
        <w:spacing w:after="150"/>
        <w:ind w:firstLine="300"/>
        <w:jc w:val="center"/>
        <w:rPr>
          <w:rFonts w:ascii="Lato" w:eastAsia="Times New Roman" w:hAnsi="Lato" w:cs="Times New Roman"/>
          <w:b/>
          <w:bCs/>
          <w:color w:val="000000"/>
          <w:kern w:val="0"/>
          <w:sz w:val="23"/>
          <w:szCs w:val="23"/>
          <w:lang w:eastAsia="it-IT"/>
          <w14:ligatures w14:val="none"/>
        </w:rPr>
      </w:pPr>
      <w:r w:rsidRPr="009F482E">
        <w:rPr>
          <w:rFonts w:ascii="Lato" w:eastAsia="Times New Roman" w:hAnsi="Lato" w:cs="Times New Roman"/>
          <w:b/>
          <w:bCs/>
          <w:color w:val="000000"/>
          <w:kern w:val="0"/>
          <w:sz w:val="23"/>
          <w:szCs w:val="23"/>
          <w:lang w:eastAsia="it-IT"/>
          <w14:ligatures w14:val="none"/>
        </w:rPr>
        <w:t>44/2020</w:t>
      </w:r>
    </w:p>
    <w:p w14:paraId="74467D43" w14:textId="23141795" w:rsidR="009F482E" w:rsidRPr="009F482E" w:rsidRDefault="009F482E" w:rsidP="009F482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i/>
          <w:iCs/>
          <w:color w:val="000000"/>
          <w:kern w:val="0"/>
          <w:sz w:val="23"/>
          <w:szCs w:val="23"/>
          <w:lang w:eastAsia="it-IT"/>
          <w14:ligatures w14:val="none"/>
        </w:rPr>
        <w:t>Considerato in diritto</w:t>
      </w:r>
    </w:p>
    <w:p w14:paraId="4F406228"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74028B3E"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1.– Il Tribunale ordinario di Milano dubita della legittimità costituzionale dell’art. 22, comma 1, lettera b), della legge della Regione Lombardia 8 luglio 2016, n. 16 (Disciplina regionale dei servizi abitativi). Tale disposizione stabilisce che </w:t>
      </w:r>
      <w:r w:rsidRPr="009F482E">
        <w:rPr>
          <w:rFonts w:ascii="Lato" w:eastAsia="Times New Roman" w:hAnsi="Lato" w:cs="Times New Roman"/>
          <w:color w:val="FF0000"/>
          <w:kern w:val="0"/>
          <w:sz w:val="23"/>
          <w:szCs w:val="23"/>
          <w:lang w:eastAsia="it-IT"/>
          <w14:ligatures w14:val="none"/>
        </w:rPr>
        <w:t>«[i] beneficiari dei servizi abitativi pubblici devono avere i seguenti requisiti: […] b) residenza anagrafica o svolgimento di attività lavorativa in Regione Lombardia per almeno cinque anni</w:t>
      </w:r>
      <w:r w:rsidRPr="009F482E">
        <w:rPr>
          <w:rFonts w:ascii="Lato" w:eastAsia="Times New Roman" w:hAnsi="Lato" w:cs="Times New Roman"/>
          <w:color w:val="000000"/>
          <w:kern w:val="0"/>
          <w:sz w:val="23"/>
          <w:szCs w:val="23"/>
          <w:lang w:eastAsia="it-IT"/>
          <w14:ligatures w14:val="none"/>
        </w:rPr>
        <w:t xml:space="preserve"> nel periodo immediatamente precedente la data di presentazione della domanda».</w:t>
      </w:r>
    </w:p>
    <w:p w14:paraId="20A4CD40"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6D62D029"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Secondo il giudice a quo, tale norma violerebbe: a) l’art. 3, primo e secondo comma, della Costituzione, in quanto «[l]a configurazione della residenza (o dell’occupazione) protratta come condizione dirimente per l’accesso ai servizi abitativi pubblici» non avrebbe «alcun ragionevole collegamento con la funzione sociale dei servizi abitativi pubblici»; b) l’art. 10, terzo comma, Cost., in quanto la norma censurata si applica anche ai titolari di protezione internazionale e umanitaria, status che presuppone «l’impossibilità di fare ritorno nel proprio Paese d’origine», ragion per cui «[l]a possibilità di accedere al servizio di edilizia residenziale, per tali categorie di persone, non può […] essere ragionevolmente legata al radicamento sul territorio (né tale radicamento può essere ritenuto rispettoso del principio di proporzionalità)»; c) l’art. 117, primo comma, Cost., con riferimento all’art. 11, par. 1, della direttiva 2003/109/CE del Consiglio del 25 novembre 2003 relativa allo status dei cittadini di paesi terzi che siano soggiornanti di lungo periodo, in base al quale «[i]l soggiornante di lungo periodo gode dello stesso trattamento dei cittadini nazionali per quanto riguarda: […] f) l’accesso […] alla procedura per l’ottenimento di un alloggio».</w:t>
      </w:r>
    </w:p>
    <w:p w14:paraId="02D8B2C7"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4D035FC9" w14:textId="77777777" w:rsidR="00630CA8" w:rsidRDefault="00630CA8"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Pr>
          <w:rFonts w:ascii="Lato" w:eastAsia="Times New Roman" w:hAnsi="Lato" w:cs="Times New Roman"/>
          <w:color w:val="000000"/>
          <w:kern w:val="0"/>
          <w:sz w:val="23"/>
          <w:szCs w:val="23"/>
          <w:lang w:eastAsia="it-IT"/>
          <w14:ligatures w14:val="none"/>
        </w:rPr>
        <w:t>[…]</w:t>
      </w:r>
    </w:p>
    <w:p w14:paraId="2B098258" w14:textId="5385BF29"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3.– Nel merito, la prima questione – posta con riferimento all’art. 3, primo e secondo comma, Cost. – </w:t>
      </w:r>
      <w:r w:rsidRPr="009F482E">
        <w:rPr>
          <w:rFonts w:ascii="Lato" w:eastAsia="Times New Roman" w:hAnsi="Lato" w:cs="Times New Roman"/>
          <w:color w:val="FF0000"/>
          <w:kern w:val="0"/>
          <w:sz w:val="23"/>
          <w:szCs w:val="23"/>
          <w:lang w:eastAsia="it-IT"/>
          <w14:ligatures w14:val="none"/>
        </w:rPr>
        <w:t>è fondata</w:t>
      </w:r>
      <w:r w:rsidRPr="009F482E">
        <w:rPr>
          <w:rFonts w:ascii="Lato" w:eastAsia="Times New Roman" w:hAnsi="Lato" w:cs="Times New Roman"/>
          <w:color w:val="000000"/>
          <w:kern w:val="0"/>
          <w:sz w:val="23"/>
          <w:szCs w:val="23"/>
          <w:lang w:eastAsia="it-IT"/>
          <w14:ligatures w14:val="none"/>
        </w:rPr>
        <w:t>.</w:t>
      </w:r>
    </w:p>
    <w:p w14:paraId="26DA271D"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1A1B3F68"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Come questa Corte ha affermato da lungo tempo e costantemente, il diritto all’abitazione «rientra fra i requisiti essenziali caratterizzanti la socialità cui si conforma lo Stato democratico voluto dalla Costituzione» ed è compito dello Stato garantirlo, contribuendo così «a che la vita di ogni persona rifletta ogni giorno e sotto ogni aspetto l’immagine universale della dignità umana» (</w:t>
      </w:r>
      <w:hyperlink r:id="rId4" w:history="1">
        <w:r w:rsidRPr="009F482E">
          <w:rPr>
            <w:rFonts w:ascii="Lato" w:eastAsia="Times New Roman" w:hAnsi="Lato" w:cs="Times New Roman"/>
            <w:color w:val="0E10A1"/>
            <w:kern w:val="0"/>
            <w:sz w:val="23"/>
            <w:szCs w:val="23"/>
            <w:u w:val="single"/>
            <w:shd w:val="clear" w:color="auto" w:fill="FBFB68"/>
            <w:lang w:eastAsia="it-IT"/>
            <w14:ligatures w14:val="none"/>
          </w:rPr>
          <w:t>sentenza n. 217 del 1988</w:t>
        </w:r>
      </w:hyperlink>
      <w:r w:rsidRPr="009F482E">
        <w:rPr>
          <w:rFonts w:ascii="Lato" w:eastAsia="Times New Roman" w:hAnsi="Lato" w:cs="Times New Roman"/>
          <w:color w:val="000000"/>
          <w:kern w:val="0"/>
          <w:sz w:val="23"/>
          <w:szCs w:val="23"/>
          <w:lang w:eastAsia="it-IT"/>
          <w14:ligatures w14:val="none"/>
        </w:rPr>
        <w:t>; nello stesso senso </w:t>
      </w:r>
      <w:hyperlink r:id="rId5" w:history="1">
        <w:r w:rsidRPr="009F482E">
          <w:rPr>
            <w:rFonts w:ascii="Lato" w:eastAsia="Times New Roman" w:hAnsi="Lato" w:cs="Times New Roman"/>
            <w:color w:val="0E10A1"/>
            <w:kern w:val="0"/>
            <w:sz w:val="23"/>
            <w:szCs w:val="23"/>
            <w:u w:val="single"/>
            <w:shd w:val="clear" w:color="auto" w:fill="FBFB68"/>
            <w:lang w:eastAsia="it-IT"/>
            <w14:ligatures w14:val="none"/>
          </w:rPr>
          <w:t>sentenze n. 106 del 2018</w:t>
        </w:r>
      </w:hyperlink>
      <w:r w:rsidRPr="009F482E">
        <w:rPr>
          <w:rFonts w:ascii="Lato" w:eastAsia="Times New Roman" w:hAnsi="Lato" w:cs="Times New Roman"/>
          <w:color w:val="000000"/>
          <w:kern w:val="0"/>
          <w:sz w:val="23"/>
          <w:szCs w:val="23"/>
          <w:lang w:eastAsia="it-IT"/>
          <w14:ligatures w14:val="none"/>
        </w:rPr>
        <w:t>, </w:t>
      </w:r>
      <w:hyperlink r:id="rId6" w:history="1">
        <w:r w:rsidRPr="009F482E">
          <w:rPr>
            <w:rFonts w:ascii="Lato" w:eastAsia="Times New Roman" w:hAnsi="Lato" w:cs="Times New Roman"/>
            <w:color w:val="0E10A1"/>
            <w:kern w:val="0"/>
            <w:sz w:val="23"/>
            <w:szCs w:val="23"/>
            <w:u w:val="single"/>
            <w:shd w:val="clear" w:color="auto" w:fill="FBFB68"/>
            <w:lang w:eastAsia="it-IT"/>
            <w14:ligatures w14:val="none"/>
          </w:rPr>
          <w:t>n. 168 del 2014</w:t>
        </w:r>
      </w:hyperlink>
      <w:r w:rsidRPr="009F482E">
        <w:rPr>
          <w:rFonts w:ascii="Lato" w:eastAsia="Times New Roman" w:hAnsi="Lato" w:cs="Times New Roman"/>
          <w:color w:val="000000"/>
          <w:kern w:val="0"/>
          <w:sz w:val="23"/>
          <w:szCs w:val="23"/>
          <w:lang w:eastAsia="it-IT"/>
          <w14:ligatures w14:val="none"/>
        </w:rPr>
        <w:t>, </w:t>
      </w:r>
      <w:hyperlink r:id="rId7" w:history="1">
        <w:r w:rsidRPr="009F482E">
          <w:rPr>
            <w:rFonts w:ascii="Lato" w:eastAsia="Times New Roman" w:hAnsi="Lato" w:cs="Times New Roman"/>
            <w:color w:val="0E10A1"/>
            <w:kern w:val="0"/>
            <w:sz w:val="23"/>
            <w:szCs w:val="23"/>
            <w:u w:val="single"/>
            <w:shd w:val="clear" w:color="auto" w:fill="FBFB68"/>
            <w:lang w:eastAsia="it-IT"/>
            <w14:ligatures w14:val="none"/>
          </w:rPr>
          <w:t>n. 209 del 2009</w:t>
        </w:r>
      </w:hyperlink>
      <w:r w:rsidRPr="009F482E">
        <w:rPr>
          <w:rFonts w:ascii="Lato" w:eastAsia="Times New Roman" w:hAnsi="Lato" w:cs="Times New Roman"/>
          <w:color w:val="000000"/>
          <w:kern w:val="0"/>
          <w:sz w:val="23"/>
          <w:szCs w:val="23"/>
          <w:lang w:eastAsia="it-IT"/>
          <w14:ligatures w14:val="none"/>
        </w:rPr>
        <w:t> e </w:t>
      </w:r>
      <w:hyperlink r:id="rId8" w:history="1">
        <w:r w:rsidRPr="009F482E">
          <w:rPr>
            <w:rFonts w:ascii="Lato" w:eastAsia="Times New Roman" w:hAnsi="Lato" w:cs="Times New Roman"/>
            <w:color w:val="0E10A1"/>
            <w:kern w:val="0"/>
            <w:sz w:val="23"/>
            <w:szCs w:val="23"/>
            <w:u w:val="single"/>
            <w:shd w:val="clear" w:color="auto" w:fill="FBFB68"/>
            <w:lang w:eastAsia="it-IT"/>
            <w14:ligatures w14:val="none"/>
          </w:rPr>
          <w:t>n. 404 del 1988</w:t>
        </w:r>
      </w:hyperlink>
      <w:r w:rsidRPr="009F482E">
        <w:rPr>
          <w:rFonts w:ascii="Lato" w:eastAsia="Times New Roman" w:hAnsi="Lato" w:cs="Times New Roman"/>
          <w:color w:val="000000"/>
          <w:kern w:val="0"/>
          <w:sz w:val="23"/>
          <w:szCs w:val="23"/>
          <w:lang w:eastAsia="it-IT"/>
          <w14:ligatures w14:val="none"/>
        </w:rPr>
        <w:t xml:space="preserve">). </w:t>
      </w:r>
      <w:r w:rsidRPr="009F482E">
        <w:rPr>
          <w:rFonts w:ascii="Lato" w:eastAsia="Times New Roman" w:hAnsi="Lato" w:cs="Times New Roman"/>
          <w:color w:val="FF0000"/>
          <w:kern w:val="0"/>
          <w:sz w:val="23"/>
          <w:szCs w:val="23"/>
          <w:lang w:eastAsia="it-IT"/>
          <w14:ligatures w14:val="none"/>
        </w:rPr>
        <w:t xml:space="preserve">Benché non espressamente previsto dalla Costituzione, tale diritto deve dunque ritenersi incluso nel catalogo dei diritti inviolabili </w:t>
      </w:r>
      <w:r w:rsidRPr="009F482E">
        <w:rPr>
          <w:rFonts w:ascii="Lato" w:eastAsia="Times New Roman" w:hAnsi="Lato" w:cs="Times New Roman"/>
          <w:color w:val="000000"/>
          <w:kern w:val="0"/>
          <w:sz w:val="23"/>
          <w:szCs w:val="23"/>
          <w:lang w:eastAsia="it-IT"/>
          <w14:ligatures w14:val="none"/>
        </w:rPr>
        <w:t>(fra le altre, </w:t>
      </w:r>
      <w:hyperlink r:id="rId9" w:history="1">
        <w:r w:rsidRPr="009F482E">
          <w:rPr>
            <w:rFonts w:ascii="Lato" w:eastAsia="Times New Roman" w:hAnsi="Lato" w:cs="Times New Roman"/>
            <w:color w:val="0E10A1"/>
            <w:kern w:val="0"/>
            <w:sz w:val="23"/>
            <w:szCs w:val="23"/>
            <w:u w:val="single"/>
            <w:shd w:val="clear" w:color="auto" w:fill="FBFB68"/>
            <w:lang w:eastAsia="it-IT"/>
            <w14:ligatures w14:val="none"/>
          </w:rPr>
          <w:t>sentenze n. 161 del 2013</w:t>
        </w:r>
      </w:hyperlink>
      <w:r w:rsidRPr="009F482E">
        <w:rPr>
          <w:rFonts w:ascii="Lato" w:eastAsia="Times New Roman" w:hAnsi="Lato" w:cs="Times New Roman"/>
          <w:color w:val="000000"/>
          <w:kern w:val="0"/>
          <w:sz w:val="23"/>
          <w:szCs w:val="23"/>
          <w:lang w:eastAsia="it-IT"/>
          <w14:ligatures w14:val="none"/>
        </w:rPr>
        <w:t>, </w:t>
      </w:r>
      <w:hyperlink r:id="rId10" w:history="1">
        <w:r w:rsidRPr="009F482E">
          <w:rPr>
            <w:rFonts w:ascii="Lato" w:eastAsia="Times New Roman" w:hAnsi="Lato" w:cs="Times New Roman"/>
            <w:color w:val="0E10A1"/>
            <w:kern w:val="0"/>
            <w:sz w:val="23"/>
            <w:szCs w:val="23"/>
            <w:u w:val="single"/>
            <w:shd w:val="clear" w:color="auto" w:fill="FBFB68"/>
            <w:lang w:eastAsia="it-IT"/>
            <w14:ligatures w14:val="none"/>
          </w:rPr>
          <w:t>n. 61 del 2011</w:t>
        </w:r>
      </w:hyperlink>
      <w:r w:rsidRPr="009F482E">
        <w:rPr>
          <w:rFonts w:ascii="Lato" w:eastAsia="Times New Roman" w:hAnsi="Lato" w:cs="Times New Roman"/>
          <w:color w:val="000000"/>
          <w:kern w:val="0"/>
          <w:sz w:val="23"/>
          <w:szCs w:val="23"/>
          <w:lang w:eastAsia="it-IT"/>
          <w14:ligatures w14:val="none"/>
        </w:rPr>
        <w:t> e </w:t>
      </w:r>
      <w:hyperlink r:id="rId11" w:history="1">
        <w:r w:rsidRPr="009F482E">
          <w:rPr>
            <w:rFonts w:ascii="Lato" w:eastAsia="Times New Roman" w:hAnsi="Lato" w:cs="Times New Roman"/>
            <w:color w:val="0E10A1"/>
            <w:kern w:val="0"/>
            <w:sz w:val="23"/>
            <w:szCs w:val="23"/>
            <w:u w:val="single"/>
            <w:shd w:val="clear" w:color="auto" w:fill="FBFB68"/>
            <w:lang w:eastAsia="it-IT"/>
            <w14:ligatures w14:val="none"/>
          </w:rPr>
          <w:t>n. 404 del 1988</w:t>
        </w:r>
      </w:hyperlink>
      <w:r w:rsidRPr="009F482E">
        <w:rPr>
          <w:rFonts w:ascii="Lato" w:eastAsia="Times New Roman" w:hAnsi="Lato" w:cs="Times New Roman"/>
          <w:color w:val="000000"/>
          <w:kern w:val="0"/>
          <w:sz w:val="23"/>
          <w:szCs w:val="23"/>
          <w:lang w:eastAsia="it-IT"/>
          <w14:ligatures w14:val="none"/>
        </w:rPr>
        <w:t> e </w:t>
      </w:r>
      <w:hyperlink r:id="rId12" w:history="1">
        <w:r w:rsidRPr="009F482E">
          <w:rPr>
            <w:rFonts w:ascii="Lato" w:eastAsia="Times New Roman" w:hAnsi="Lato" w:cs="Times New Roman"/>
            <w:color w:val="0E10A1"/>
            <w:kern w:val="0"/>
            <w:sz w:val="23"/>
            <w:szCs w:val="23"/>
            <w:u w:val="single"/>
            <w:shd w:val="clear" w:color="auto" w:fill="FBFB68"/>
            <w:lang w:eastAsia="it-IT"/>
            <w14:ligatures w14:val="none"/>
          </w:rPr>
          <w:t>ordinanza n. 76 del 2010</w:t>
        </w:r>
      </w:hyperlink>
      <w:r w:rsidRPr="009F482E">
        <w:rPr>
          <w:rFonts w:ascii="Lato" w:eastAsia="Times New Roman" w:hAnsi="Lato" w:cs="Times New Roman"/>
          <w:color w:val="000000"/>
          <w:kern w:val="0"/>
          <w:sz w:val="23"/>
          <w:szCs w:val="23"/>
          <w:lang w:eastAsia="it-IT"/>
          <w14:ligatures w14:val="none"/>
        </w:rPr>
        <w:t>) e il suo oggetto, l’abitazione, deve considerarsi «bene di primaria importanza» (</w:t>
      </w:r>
      <w:hyperlink r:id="rId13" w:history="1">
        <w:r w:rsidRPr="009F482E">
          <w:rPr>
            <w:rFonts w:ascii="Lato" w:eastAsia="Times New Roman" w:hAnsi="Lato" w:cs="Times New Roman"/>
            <w:color w:val="0E10A1"/>
            <w:kern w:val="0"/>
            <w:sz w:val="23"/>
            <w:szCs w:val="23"/>
            <w:u w:val="single"/>
            <w:shd w:val="clear" w:color="auto" w:fill="FBFB68"/>
            <w:lang w:eastAsia="it-IT"/>
            <w14:ligatures w14:val="none"/>
          </w:rPr>
          <w:t>sentenza n. 166 del 2018</w:t>
        </w:r>
      </w:hyperlink>
      <w:r w:rsidRPr="009F482E">
        <w:rPr>
          <w:rFonts w:ascii="Lato" w:eastAsia="Times New Roman" w:hAnsi="Lato" w:cs="Times New Roman"/>
          <w:color w:val="000000"/>
          <w:kern w:val="0"/>
          <w:sz w:val="23"/>
          <w:szCs w:val="23"/>
          <w:lang w:eastAsia="it-IT"/>
          <w14:ligatures w14:val="none"/>
        </w:rPr>
        <w:t>; si vedano anche le </w:t>
      </w:r>
      <w:hyperlink r:id="rId14" w:history="1">
        <w:r w:rsidRPr="009F482E">
          <w:rPr>
            <w:rFonts w:ascii="Lato" w:eastAsia="Times New Roman" w:hAnsi="Lato" w:cs="Times New Roman"/>
            <w:color w:val="0E10A1"/>
            <w:kern w:val="0"/>
            <w:sz w:val="23"/>
            <w:szCs w:val="23"/>
            <w:u w:val="single"/>
            <w:shd w:val="clear" w:color="auto" w:fill="FBFB68"/>
            <w:lang w:eastAsia="it-IT"/>
            <w14:ligatures w14:val="none"/>
          </w:rPr>
          <w:t>sentenze n. 38 del 2016</w:t>
        </w:r>
      </w:hyperlink>
      <w:r w:rsidRPr="009F482E">
        <w:rPr>
          <w:rFonts w:ascii="Lato" w:eastAsia="Times New Roman" w:hAnsi="Lato" w:cs="Times New Roman"/>
          <w:color w:val="000000"/>
          <w:kern w:val="0"/>
          <w:sz w:val="23"/>
          <w:szCs w:val="23"/>
          <w:lang w:eastAsia="it-IT"/>
          <w14:ligatures w14:val="none"/>
        </w:rPr>
        <w:t>, </w:t>
      </w:r>
      <w:hyperlink r:id="rId15" w:history="1">
        <w:r w:rsidRPr="009F482E">
          <w:rPr>
            <w:rFonts w:ascii="Lato" w:eastAsia="Times New Roman" w:hAnsi="Lato" w:cs="Times New Roman"/>
            <w:color w:val="0E10A1"/>
            <w:kern w:val="0"/>
            <w:sz w:val="23"/>
            <w:szCs w:val="23"/>
            <w:u w:val="single"/>
            <w:shd w:val="clear" w:color="auto" w:fill="FBFB68"/>
            <w:lang w:eastAsia="it-IT"/>
            <w14:ligatures w14:val="none"/>
          </w:rPr>
          <w:t>n. 168 del 2014</w:t>
        </w:r>
      </w:hyperlink>
      <w:r w:rsidRPr="009F482E">
        <w:rPr>
          <w:rFonts w:ascii="Lato" w:eastAsia="Times New Roman" w:hAnsi="Lato" w:cs="Times New Roman"/>
          <w:color w:val="000000"/>
          <w:kern w:val="0"/>
          <w:sz w:val="23"/>
          <w:szCs w:val="23"/>
          <w:lang w:eastAsia="it-IT"/>
          <w14:ligatures w14:val="none"/>
        </w:rPr>
        <w:t> e </w:t>
      </w:r>
      <w:hyperlink r:id="rId16" w:history="1">
        <w:r w:rsidRPr="009F482E">
          <w:rPr>
            <w:rFonts w:ascii="Lato" w:eastAsia="Times New Roman" w:hAnsi="Lato" w:cs="Times New Roman"/>
            <w:color w:val="0E10A1"/>
            <w:kern w:val="0"/>
            <w:sz w:val="23"/>
            <w:szCs w:val="23"/>
            <w:u w:val="single"/>
            <w:shd w:val="clear" w:color="auto" w:fill="FBFB68"/>
            <w:lang w:eastAsia="it-IT"/>
            <w14:ligatures w14:val="none"/>
          </w:rPr>
          <w:t>n. 209 del 2009</w:t>
        </w:r>
      </w:hyperlink>
      <w:r w:rsidRPr="009F482E">
        <w:rPr>
          <w:rFonts w:ascii="Lato" w:eastAsia="Times New Roman" w:hAnsi="Lato" w:cs="Times New Roman"/>
          <w:color w:val="000000"/>
          <w:kern w:val="0"/>
          <w:sz w:val="23"/>
          <w:szCs w:val="23"/>
          <w:lang w:eastAsia="it-IT"/>
          <w14:ligatures w14:val="none"/>
        </w:rPr>
        <w:t>).</w:t>
      </w:r>
    </w:p>
    <w:p w14:paraId="225C3148"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45DB48FC"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FF0000"/>
          <w:kern w:val="0"/>
          <w:sz w:val="23"/>
          <w:szCs w:val="23"/>
          <w:lang w:eastAsia="it-IT"/>
          <w14:ligatures w14:val="none"/>
        </w:rPr>
        <w:t>L’edilizia residenziale pubblica è diretta ad assicurare in concreto il soddisfacimento di questo bisogno primario</w:t>
      </w:r>
      <w:r w:rsidRPr="009F482E">
        <w:rPr>
          <w:rFonts w:ascii="Lato" w:eastAsia="Times New Roman" w:hAnsi="Lato" w:cs="Times New Roman"/>
          <w:color w:val="000000"/>
          <w:kern w:val="0"/>
          <w:sz w:val="23"/>
          <w:szCs w:val="23"/>
          <w:lang w:eastAsia="it-IT"/>
          <w14:ligatures w14:val="none"/>
        </w:rPr>
        <w:t>, perché serve a «“garantire un’abitazione a soggetti economicamente deboli nel luogo ove è la sede dei loro interessi” (</w:t>
      </w:r>
      <w:hyperlink r:id="rId17" w:history="1">
        <w:r w:rsidRPr="009F482E">
          <w:rPr>
            <w:rFonts w:ascii="Lato" w:eastAsia="Times New Roman" w:hAnsi="Lato" w:cs="Times New Roman"/>
            <w:color w:val="0E10A1"/>
            <w:kern w:val="0"/>
            <w:sz w:val="23"/>
            <w:szCs w:val="23"/>
            <w:u w:val="single"/>
            <w:shd w:val="clear" w:color="auto" w:fill="FBFB68"/>
            <w:lang w:eastAsia="it-IT"/>
            <w14:ligatures w14:val="none"/>
          </w:rPr>
          <w:t>sentenza n. 176 del 2000</w:t>
        </w:r>
      </w:hyperlink>
      <w:r w:rsidRPr="009F482E">
        <w:rPr>
          <w:rFonts w:ascii="Lato" w:eastAsia="Times New Roman" w:hAnsi="Lato" w:cs="Times New Roman"/>
          <w:color w:val="000000"/>
          <w:kern w:val="0"/>
          <w:sz w:val="23"/>
          <w:szCs w:val="23"/>
          <w:lang w:eastAsia="it-IT"/>
          <w14:ligatures w14:val="none"/>
        </w:rPr>
        <w:t xml:space="preserve">), al fine di assicurare </w:t>
      </w:r>
      <w:r w:rsidRPr="009F482E">
        <w:rPr>
          <w:rFonts w:ascii="Lato" w:eastAsia="Times New Roman" w:hAnsi="Lato" w:cs="Times New Roman"/>
          <w:color w:val="FF0000"/>
          <w:kern w:val="0"/>
          <w:sz w:val="23"/>
          <w:szCs w:val="23"/>
          <w:lang w:eastAsia="it-IT"/>
          <w14:ligatures w14:val="none"/>
        </w:rPr>
        <w:t>un’esistenza dignitosa</w:t>
      </w:r>
      <w:r w:rsidRPr="009F482E">
        <w:rPr>
          <w:rFonts w:ascii="Lato" w:eastAsia="Times New Roman" w:hAnsi="Lato" w:cs="Times New Roman"/>
          <w:color w:val="000000"/>
          <w:kern w:val="0"/>
          <w:sz w:val="23"/>
          <w:szCs w:val="23"/>
          <w:lang w:eastAsia="it-IT"/>
          <w14:ligatures w14:val="none"/>
        </w:rPr>
        <w:t xml:space="preserve"> a tutti coloro che non dispongono di risorse sufficienti (art. 34 della Carta dei diritti fondamentali dell’Unione europea), mediante un servizio pubblico deputato alla “provvista di alloggi per i lavoratori e le famiglie meno abbienti”» (</w:t>
      </w:r>
      <w:hyperlink r:id="rId18" w:history="1">
        <w:r w:rsidRPr="009F482E">
          <w:rPr>
            <w:rFonts w:ascii="Lato" w:eastAsia="Times New Roman" w:hAnsi="Lato" w:cs="Times New Roman"/>
            <w:color w:val="0E10A1"/>
            <w:kern w:val="0"/>
            <w:sz w:val="23"/>
            <w:szCs w:val="23"/>
            <w:u w:val="single"/>
            <w:shd w:val="clear" w:color="auto" w:fill="FBFB68"/>
            <w:lang w:eastAsia="it-IT"/>
            <w14:ligatures w14:val="none"/>
          </w:rPr>
          <w:t>sentenza n. 168 del 2014</w:t>
        </w:r>
      </w:hyperlink>
      <w:r w:rsidRPr="009F482E">
        <w:rPr>
          <w:rFonts w:ascii="Lato" w:eastAsia="Times New Roman" w:hAnsi="Lato" w:cs="Times New Roman"/>
          <w:color w:val="000000"/>
          <w:kern w:val="0"/>
          <w:sz w:val="23"/>
          <w:szCs w:val="23"/>
          <w:lang w:eastAsia="it-IT"/>
          <w14:ligatures w14:val="none"/>
        </w:rPr>
        <w:t xml:space="preserve">). L’edilizia </w:t>
      </w:r>
      <w:r w:rsidRPr="009F482E">
        <w:rPr>
          <w:rFonts w:ascii="Lato" w:eastAsia="Times New Roman" w:hAnsi="Lato" w:cs="Times New Roman"/>
          <w:color w:val="000000"/>
          <w:kern w:val="0"/>
          <w:sz w:val="23"/>
          <w:szCs w:val="23"/>
          <w:lang w:eastAsia="it-IT"/>
          <w14:ligatures w14:val="none"/>
        </w:rPr>
        <w:lastRenderedPageBreak/>
        <w:t>residenziale pubblica rientra dunque nell’ambito dei «</w:t>
      </w:r>
      <w:r w:rsidRPr="009F482E">
        <w:rPr>
          <w:rFonts w:ascii="Lato" w:eastAsia="Times New Roman" w:hAnsi="Lato" w:cs="Times New Roman"/>
          <w:color w:val="FF0000"/>
          <w:kern w:val="0"/>
          <w:sz w:val="23"/>
          <w:szCs w:val="23"/>
          <w:lang w:eastAsia="it-IT"/>
          <w14:ligatures w14:val="none"/>
        </w:rPr>
        <w:t>servizi sociali</w:t>
      </w:r>
      <w:r w:rsidRPr="009F482E">
        <w:rPr>
          <w:rFonts w:ascii="Lato" w:eastAsia="Times New Roman" w:hAnsi="Lato" w:cs="Times New Roman"/>
          <w:color w:val="000000"/>
          <w:kern w:val="0"/>
          <w:sz w:val="23"/>
          <w:szCs w:val="23"/>
          <w:lang w:eastAsia="it-IT"/>
          <w14:ligatures w14:val="none"/>
        </w:rPr>
        <w:t>» di cui all’art. 1, comma 2, della legge 8 novembre 2000, n. 328 (Legge quadro per la realizzazione del sistema integrato di interventi e servizi sociali), e all’art. 128, comma 2, del decreto legislativo 31 marzo 1998, n. 112 (Conferimento di funzioni e compiti amministrativi dello Stato alle regioni ed agli enti locali, in attuazione del capo I della legge 15 marzo 1997, n. 59).</w:t>
      </w:r>
    </w:p>
    <w:p w14:paraId="088BBD5F"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73ECA679"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La stessa legge regionale lombarda censurata, del resto, dispone che il sistema regionale dei servizi abitativi ha il «fine di soddisfare il fabbisogno abitativo primario e di ridurre il disagio abitativo dei nuclei familiari, nonché di particolari categorie sociali in condizioni di svantaggio» (art. 1, comma 1, della legge reg. Lombardia n. 16 del 2016) e richiama (all’art. 1, comma 3) gli «alloggi sociali» di cui al decreto del Ministero delle Infrastrutture 22 aprile 2008 (Definizione di alloggio sociale ai fini dell’esenzione dall’obbligo di notifica degli aiuti di Stato, ai sensi degli articoli 87 e 88 del Trattato istitutivo della Comunità europea).</w:t>
      </w:r>
    </w:p>
    <w:p w14:paraId="58BB5C4D"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26D0E8D7"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3.1.– Ciò premesso, si può passare ad esaminare l’art. 22, comma 1, lettera b), della legge reg. Lombardia n. 16 del 2016, il quale stabilisce che tutti i potenziali beneficiari dell’edilizia residenziale pubblica (di seguito, ERP), indicati nella lettera a) (cittadini italiani o di uno Stato dell’Unione europea ovvero stranieri titolari di permesso di soggiorno CE per soggiornanti di lungo periodo o stranieri regolarmente soggiornanti in possesso di permesso di soggiorno almeno biennale e che esercitano una regolare attività di lavoro subordinato o di lavoro autonomo ai sensi dell’articolo 40, comma 6, </w:t>
      </w:r>
      <w:proofErr w:type="spellStart"/>
      <w:r w:rsidRPr="009F482E">
        <w:rPr>
          <w:rFonts w:ascii="Lato" w:eastAsia="Times New Roman" w:hAnsi="Lato" w:cs="Times New Roman"/>
          <w:color w:val="000000"/>
          <w:kern w:val="0"/>
          <w:sz w:val="23"/>
          <w:szCs w:val="23"/>
          <w:lang w:eastAsia="it-IT"/>
          <w14:ligatures w14:val="none"/>
        </w:rPr>
        <w:t>t.u.</w:t>
      </w:r>
      <w:proofErr w:type="spellEnd"/>
      <w:r w:rsidRPr="009F482E">
        <w:rPr>
          <w:rFonts w:ascii="Lato" w:eastAsia="Times New Roman" w:hAnsi="Lato" w:cs="Times New Roman"/>
          <w:color w:val="000000"/>
          <w:kern w:val="0"/>
          <w:sz w:val="23"/>
          <w:szCs w:val="23"/>
          <w:lang w:eastAsia="it-IT"/>
          <w14:ligatures w14:val="none"/>
        </w:rPr>
        <w:t xml:space="preserve"> immigrazione), devono soddisfare il seguente requisito: «residenza anagrafica o svolgimento di attività lavorativa in Regione Lombardia per almeno cinque anni nel periodo immediatamente precedente la data di presentazione della domanda».</w:t>
      </w:r>
    </w:p>
    <w:p w14:paraId="3781450A"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75426EAA"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Questa Corte ha più volte affermato che i criteri adottati dal legislatore per la selezione dei beneficiari dei servizi sociali devono presentare un collegamento con la funzione del servizio (ex </w:t>
      </w:r>
      <w:proofErr w:type="spellStart"/>
      <w:r w:rsidRPr="009F482E">
        <w:rPr>
          <w:rFonts w:ascii="Lato" w:eastAsia="Times New Roman" w:hAnsi="Lato" w:cs="Times New Roman"/>
          <w:color w:val="000000"/>
          <w:kern w:val="0"/>
          <w:sz w:val="23"/>
          <w:szCs w:val="23"/>
          <w:lang w:eastAsia="it-IT"/>
          <w14:ligatures w14:val="none"/>
        </w:rPr>
        <w:t>plurimis</w:t>
      </w:r>
      <w:proofErr w:type="spellEnd"/>
      <w:r w:rsidRPr="009F482E">
        <w:rPr>
          <w:rFonts w:ascii="Lato" w:eastAsia="Times New Roman" w:hAnsi="Lato" w:cs="Times New Roman"/>
          <w:color w:val="000000"/>
          <w:kern w:val="0"/>
          <w:sz w:val="23"/>
          <w:szCs w:val="23"/>
          <w:lang w:eastAsia="it-IT"/>
          <w14:ligatures w14:val="none"/>
        </w:rPr>
        <w:t>, </w:t>
      </w:r>
      <w:hyperlink r:id="rId19" w:history="1">
        <w:r w:rsidRPr="009F482E">
          <w:rPr>
            <w:rFonts w:ascii="Lato" w:eastAsia="Times New Roman" w:hAnsi="Lato" w:cs="Times New Roman"/>
            <w:color w:val="0E10A1"/>
            <w:kern w:val="0"/>
            <w:sz w:val="23"/>
            <w:szCs w:val="23"/>
            <w:u w:val="single"/>
            <w:shd w:val="clear" w:color="auto" w:fill="FBFB68"/>
            <w:lang w:eastAsia="it-IT"/>
            <w14:ligatures w14:val="none"/>
          </w:rPr>
          <w:t>sentenze n. 166</w:t>
        </w:r>
      </w:hyperlink>
      <w:r w:rsidRPr="009F482E">
        <w:rPr>
          <w:rFonts w:ascii="Lato" w:eastAsia="Times New Roman" w:hAnsi="Lato" w:cs="Times New Roman"/>
          <w:color w:val="000000"/>
          <w:kern w:val="0"/>
          <w:sz w:val="23"/>
          <w:szCs w:val="23"/>
          <w:lang w:eastAsia="it-IT"/>
          <w14:ligatures w14:val="none"/>
        </w:rPr>
        <w:t> e </w:t>
      </w:r>
      <w:hyperlink r:id="rId20" w:history="1">
        <w:r w:rsidRPr="009F482E">
          <w:rPr>
            <w:rFonts w:ascii="Lato" w:eastAsia="Times New Roman" w:hAnsi="Lato" w:cs="Times New Roman"/>
            <w:color w:val="0E10A1"/>
            <w:kern w:val="0"/>
            <w:sz w:val="23"/>
            <w:szCs w:val="23"/>
            <w:u w:val="single"/>
            <w:shd w:val="clear" w:color="auto" w:fill="FBFB68"/>
            <w:lang w:eastAsia="it-IT"/>
            <w14:ligatures w14:val="none"/>
          </w:rPr>
          <w:t>n. 107 del 2018</w:t>
        </w:r>
      </w:hyperlink>
      <w:r w:rsidRPr="009F482E">
        <w:rPr>
          <w:rFonts w:ascii="Lato" w:eastAsia="Times New Roman" w:hAnsi="Lato" w:cs="Times New Roman"/>
          <w:color w:val="000000"/>
          <w:kern w:val="0"/>
          <w:sz w:val="23"/>
          <w:szCs w:val="23"/>
          <w:lang w:eastAsia="it-IT"/>
          <w14:ligatures w14:val="none"/>
        </w:rPr>
        <w:t>, </w:t>
      </w:r>
      <w:hyperlink r:id="rId21" w:history="1">
        <w:r w:rsidRPr="009F482E">
          <w:rPr>
            <w:rFonts w:ascii="Lato" w:eastAsia="Times New Roman" w:hAnsi="Lato" w:cs="Times New Roman"/>
            <w:color w:val="0E10A1"/>
            <w:kern w:val="0"/>
            <w:sz w:val="23"/>
            <w:szCs w:val="23"/>
            <w:u w:val="single"/>
            <w:shd w:val="clear" w:color="auto" w:fill="FBFB68"/>
            <w:lang w:eastAsia="it-IT"/>
            <w14:ligatures w14:val="none"/>
          </w:rPr>
          <w:t>n. 168 del 2014</w:t>
        </w:r>
      </w:hyperlink>
      <w:r w:rsidRPr="009F482E">
        <w:rPr>
          <w:rFonts w:ascii="Lato" w:eastAsia="Times New Roman" w:hAnsi="Lato" w:cs="Times New Roman"/>
          <w:color w:val="000000"/>
          <w:kern w:val="0"/>
          <w:sz w:val="23"/>
          <w:szCs w:val="23"/>
          <w:lang w:eastAsia="it-IT"/>
          <w14:ligatures w14:val="none"/>
        </w:rPr>
        <w:t>, </w:t>
      </w:r>
      <w:hyperlink r:id="rId22" w:history="1">
        <w:r w:rsidRPr="009F482E">
          <w:rPr>
            <w:rFonts w:ascii="Lato" w:eastAsia="Times New Roman" w:hAnsi="Lato" w:cs="Times New Roman"/>
            <w:color w:val="0E10A1"/>
            <w:kern w:val="0"/>
            <w:sz w:val="23"/>
            <w:szCs w:val="23"/>
            <w:u w:val="single"/>
            <w:shd w:val="clear" w:color="auto" w:fill="FBFB68"/>
            <w:lang w:eastAsia="it-IT"/>
            <w14:ligatures w14:val="none"/>
          </w:rPr>
          <w:t>n. 172</w:t>
        </w:r>
      </w:hyperlink>
      <w:r w:rsidRPr="009F482E">
        <w:rPr>
          <w:rFonts w:ascii="Lato" w:eastAsia="Times New Roman" w:hAnsi="Lato" w:cs="Times New Roman"/>
          <w:color w:val="000000"/>
          <w:kern w:val="0"/>
          <w:sz w:val="23"/>
          <w:szCs w:val="23"/>
          <w:lang w:eastAsia="it-IT"/>
          <w14:ligatures w14:val="none"/>
        </w:rPr>
        <w:t> e </w:t>
      </w:r>
      <w:hyperlink r:id="rId23" w:history="1">
        <w:r w:rsidRPr="009F482E">
          <w:rPr>
            <w:rFonts w:ascii="Lato" w:eastAsia="Times New Roman" w:hAnsi="Lato" w:cs="Times New Roman"/>
            <w:color w:val="0E10A1"/>
            <w:kern w:val="0"/>
            <w:sz w:val="23"/>
            <w:szCs w:val="23"/>
            <w:u w:val="single"/>
            <w:shd w:val="clear" w:color="auto" w:fill="FBFB68"/>
            <w:lang w:eastAsia="it-IT"/>
            <w14:ligatures w14:val="none"/>
          </w:rPr>
          <w:t>n. 133 del 2013</w:t>
        </w:r>
      </w:hyperlink>
      <w:r w:rsidRPr="009F482E">
        <w:rPr>
          <w:rFonts w:ascii="Lato" w:eastAsia="Times New Roman" w:hAnsi="Lato" w:cs="Times New Roman"/>
          <w:color w:val="000000"/>
          <w:kern w:val="0"/>
          <w:sz w:val="23"/>
          <w:szCs w:val="23"/>
          <w:lang w:eastAsia="it-IT"/>
          <w14:ligatures w14:val="none"/>
        </w:rPr>
        <w:t> e </w:t>
      </w:r>
      <w:hyperlink r:id="rId24" w:history="1">
        <w:r w:rsidRPr="009F482E">
          <w:rPr>
            <w:rFonts w:ascii="Lato" w:eastAsia="Times New Roman" w:hAnsi="Lato" w:cs="Times New Roman"/>
            <w:color w:val="0E10A1"/>
            <w:kern w:val="0"/>
            <w:sz w:val="23"/>
            <w:szCs w:val="23"/>
            <w:u w:val="single"/>
            <w:shd w:val="clear" w:color="auto" w:fill="FBFB68"/>
            <w:lang w:eastAsia="it-IT"/>
            <w14:ligatures w14:val="none"/>
          </w:rPr>
          <w:t>n. 40 del 2011</w:t>
        </w:r>
      </w:hyperlink>
      <w:r w:rsidRPr="009F482E">
        <w:rPr>
          <w:rFonts w:ascii="Lato" w:eastAsia="Times New Roman" w:hAnsi="Lato" w:cs="Times New Roman"/>
          <w:color w:val="000000"/>
          <w:kern w:val="0"/>
          <w:sz w:val="23"/>
          <w:szCs w:val="23"/>
          <w:lang w:eastAsia="it-IT"/>
          <w14:ligatures w14:val="none"/>
        </w:rPr>
        <w:t xml:space="preserve">). Il giudizio sulla sussistenza e sull’adeguatezza di tale collegamento – fra finalità del servizio da erogare e caratteristiche soggettive richieste ai suoi potenziali beneficiari – è operato da questa Corte secondo la struttura tipica del sindacato svolto ai sensi dell’art. 3, primo comma, Cost., che muove </w:t>
      </w:r>
      <w:r w:rsidRPr="009F482E">
        <w:rPr>
          <w:rFonts w:ascii="Lato" w:eastAsia="Times New Roman" w:hAnsi="Lato" w:cs="Times New Roman"/>
          <w:color w:val="FF0000"/>
          <w:kern w:val="0"/>
          <w:sz w:val="23"/>
          <w:szCs w:val="23"/>
          <w:lang w:eastAsia="it-IT"/>
          <w14:ligatures w14:val="none"/>
        </w:rPr>
        <w:t>dall’identificazione della ratio della norma di riferimento e passa poi alla verifica della coerenza con tale ratio del filtro selettivo introdotto</w:t>
      </w:r>
      <w:r w:rsidRPr="009F482E">
        <w:rPr>
          <w:rFonts w:ascii="Lato" w:eastAsia="Times New Roman" w:hAnsi="Lato" w:cs="Times New Roman"/>
          <w:color w:val="000000"/>
          <w:kern w:val="0"/>
          <w:sz w:val="23"/>
          <w:szCs w:val="23"/>
          <w:lang w:eastAsia="it-IT"/>
          <w14:ligatures w14:val="none"/>
        </w:rPr>
        <w:t>.</w:t>
      </w:r>
    </w:p>
    <w:p w14:paraId="109C6E64"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5C43A4C1"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Nel caso in esame, l’esito di tale verifica conduce a conclusioni di irragionevolezza del requisito della residenza </w:t>
      </w:r>
      <w:proofErr w:type="spellStart"/>
      <w:r w:rsidRPr="009F482E">
        <w:rPr>
          <w:rFonts w:ascii="Lato" w:eastAsia="Times New Roman" w:hAnsi="Lato" w:cs="Times New Roman"/>
          <w:color w:val="000000"/>
          <w:kern w:val="0"/>
          <w:sz w:val="23"/>
          <w:szCs w:val="23"/>
          <w:lang w:eastAsia="it-IT"/>
          <w14:ligatures w14:val="none"/>
        </w:rPr>
        <w:t>ultraquinquennale</w:t>
      </w:r>
      <w:proofErr w:type="spellEnd"/>
      <w:r w:rsidRPr="009F482E">
        <w:rPr>
          <w:rFonts w:ascii="Lato" w:eastAsia="Times New Roman" w:hAnsi="Lato" w:cs="Times New Roman"/>
          <w:color w:val="000000"/>
          <w:kern w:val="0"/>
          <w:sz w:val="23"/>
          <w:szCs w:val="23"/>
          <w:lang w:eastAsia="it-IT"/>
          <w14:ligatures w14:val="none"/>
        </w:rPr>
        <w:t xml:space="preserve"> previsto dalla norma censurata come condizione di accesso al beneficio dell’alloggio ERP. Se infatti non vi è dubbio che la ratio del servizio è il soddisfacimento del bisogno abitativo, è agevole constatare che </w:t>
      </w:r>
      <w:r w:rsidRPr="009F482E">
        <w:rPr>
          <w:rFonts w:ascii="Lato" w:eastAsia="Times New Roman" w:hAnsi="Lato" w:cs="Times New Roman"/>
          <w:color w:val="FF0000"/>
          <w:kern w:val="0"/>
          <w:sz w:val="23"/>
          <w:szCs w:val="23"/>
          <w:lang w:eastAsia="it-IT"/>
          <w14:ligatures w14:val="none"/>
        </w:rPr>
        <w:t xml:space="preserve">la condizione di previa residenza protratta dei suoi destinatari non presenta con esso alcuna ragionevole connessione </w:t>
      </w:r>
      <w:r w:rsidRPr="009F482E">
        <w:rPr>
          <w:rFonts w:ascii="Lato" w:eastAsia="Times New Roman" w:hAnsi="Lato" w:cs="Times New Roman"/>
          <w:color w:val="000000"/>
          <w:kern w:val="0"/>
          <w:sz w:val="23"/>
          <w:szCs w:val="23"/>
          <w:lang w:eastAsia="it-IT"/>
          <w14:ligatures w14:val="none"/>
        </w:rPr>
        <w:t>(</w:t>
      </w:r>
      <w:hyperlink r:id="rId25" w:history="1">
        <w:r w:rsidRPr="009F482E">
          <w:rPr>
            <w:rFonts w:ascii="Lato" w:eastAsia="Times New Roman" w:hAnsi="Lato" w:cs="Times New Roman"/>
            <w:color w:val="0E10A1"/>
            <w:kern w:val="0"/>
            <w:sz w:val="23"/>
            <w:szCs w:val="23"/>
            <w:u w:val="single"/>
            <w:shd w:val="clear" w:color="auto" w:fill="FBFB68"/>
            <w:lang w:eastAsia="it-IT"/>
            <w14:ligatures w14:val="none"/>
          </w:rPr>
          <w:t>sentenze n. 166 del 2018</w:t>
        </w:r>
      </w:hyperlink>
      <w:r w:rsidRPr="009F482E">
        <w:rPr>
          <w:rFonts w:ascii="Lato" w:eastAsia="Times New Roman" w:hAnsi="Lato" w:cs="Times New Roman"/>
          <w:color w:val="000000"/>
          <w:kern w:val="0"/>
          <w:sz w:val="23"/>
          <w:szCs w:val="23"/>
          <w:lang w:eastAsia="it-IT"/>
          <w14:ligatures w14:val="none"/>
        </w:rPr>
        <w:t> e </w:t>
      </w:r>
      <w:hyperlink r:id="rId26" w:history="1">
        <w:r w:rsidRPr="009F482E">
          <w:rPr>
            <w:rFonts w:ascii="Lato" w:eastAsia="Times New Roman" w:hAnsi="Lato" w:cs="Times New Roman"/>
            <w:color w:val="0E10A1"/>
            <w:kern w:val="0"/>
            <w:sz w:val="23"/>
            <w:szCs w:val="23"/>
            <w:u w:val="single"/>
            <w:shd w:val="clear" w:color="auto" w:fill="FBFB68"/>
            <w:lang w:eastAsia="it-IT"/>
            <w14:ligatures w14:val="none"/>
          </w:rPr>
          <w:t>n. 168 del 2014</w:t>
        </w:r>
      </w:hyperlink>
      <w:r w:rsidRPr="009F482E">
        <w:rPr>
          <w:rFonts w:ascii="Lato" w:eastAsia="Times New Roman" w:hAnsi="Lato" w:cs="Times New Roman"/>
          <w:color w:val="000000"/>
          <w:kern w:val="0"/>
          <w:sz w:val="23"/>
          <w:szCs w:val="23"/>
          <w:lang w:eastAsia="it-IT"/>
          <w14:ligatures w14:val="none"/>
        </w:rPr>
        <w:t>). Parallelamente, l’esclusione di coloro che non soddisfano il requisito della previa residenza quinquennale nella regione determina conseguenze incoerenti con quella stessa funzione.</w:t>
      </w:r>
    </w:p>
    <w:p w14:paraId="2A146352"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6B330725"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Mentre si possono immaginare requisiti di accesso sicuramente coerenti con la funzione – l’esclusione dal servizio, ad esempio, dei soggetti che dispongono già di un proprio alloggio idoneo si pone in linea con la sua ratio, che è appunto quella di dotare di un alloggio chi ne è privo – risulta con essa incongrua l’esclusione di coloro che non abbiano risieduto nella regione nei </w:t>
      </w:r>
      <w:r w:rsidRPr="009F482E">
        <w:rPr>
          <w:rFonts w:ascii="Lato" w:eastAsia="Times New Roman" w:hAnsi="Lato" w:cs="Times New Roman"/>
          <w:color w:val="000000"/>
          <w:kern w:val="0"/>
          <w:sz w:val="23"/>
          <w:szCs w:val="23"/>
          <w:lang w:eastAsia="it-IT"/>
          <w14:ligatures w14:val="none"/>
        </w:rPr>
        <w:lastRenderedPageBreak/>
        <w:t xml:space="preserve">cinque anni precedenti la domanda di alloggio, non essendo tale requisito rivelatore di alcuna condizione rilevante in funzione del bisogno che il servizio tende a soddisfare. </w:t>
      </w:r>
      <w:r w:rsidRPr="009F482E">
        <w:rPr>
          <w:rFonts w:ascii="Lato" w:eastAsia="Times New Roman" w:hAnsi="Lato" w:cs="Times New Roman"/>
          <w:color w:val="FF0000"/>
          <w:kern w:val="0"/>
          <w:sz w:val="23"/>
          <w:szCs w:val="23"/>
          <w:lang w:eastAsia="it-IT"/>
          <w14:ligatures w14:val="none"/>
        </w:rPr>
        <w:t>Il requisito stesso si risolve così semplicemente in una soglia rigida che porta a negare l’accesso all’ERP a prescindere da qualsiasi valutazione attinente alla situazione di bisogno</w:t>
      </w:r>
      <w:r w:rsidRPr="009F482E">
        <w:rPr>
          <w:rFonts w:ascii="Lato" w:eastAsia="Times New Roman" w:hAnsi="Lato" w:cs="Times New Roman"/>
          <w:color w:val="000000"/>
          <w:kern w:val="0"/>
          <w:sz w:val="23"/>
          <w:szCs w:val="23"/>
          <w:lang w:eastAsia="it-IT"/>
          <w14:ligatures w14:val="none"/>
        </w:rPr>
        <w:t xml:space="preserve"> o di disagio del richiedente (quali ad esempio condizioni economiche, presenza di disabili o di anziani nel nucleo familiare, numero dei figli). </w:t>
      </w:r>
      <w:r w:rsidRPr="009F482E">
        <w:rPr>
          <w:rFonts w:ascii="Lato" w:eastAsia="Times New Roman" w:hAnsi="Lato" w:cs="Times New Roman"/>
          <w:color w:val="FF0000"/>
          <w:kern w:val="0"/>
          <w:sz w:val="23"/>
          <w:szCs w:val="23"/>
          <w:lang w:eastAsia="it-IT"/>
          <w14:ligatures w14:val="none"/>
        </w:rPr>
        <w:t>Ciò è incompatibile con il concetto stesso di servizio sociale</w:t>
      </w:r>
      <w:r w:rsidRPr="009F482E">
        <w:rPr>
          <w:rFonts w:ascii="Lato" w:eastAsia="Times New Roman" w:hAnsi="Lato" w:cs="Times New Roman"/>
          <w:color w:val="000000"/>
          <w:kern w:val="0"/>
          <w:sz w:val="23"/>
          <w:szCs w:val="23"/>
          <w:lang w:eastAsia="it-IT"/>
          <w14:ligatures w14:val="none"/>
        </w:rPr>
        <w:t>, come servizio destinato prioritariamente ai soggetti economicamente deboli (</w:t>
      </w:r>
      <w:hyperlink r:id="rId27" w:history="1">
        <w:r w:rsidRPr="009F482E">
          <w:rPr>
            <w:rFonts w:ascii="Lato" w:eastAsia="Times New Roman" w:hAnsi="Lato" w:cs="Times New Roman"/>
            <w:color w:val="0E10A1"/>
            <w:kern w:val="0"/>
            <w:sz w:val="23"/>
            <w:szCs w:val="23"/>
            <w:u w:val="single"/>
            <w:shd w:val="clear" w:color="auto" w:fill="FBFB68"/>
            <w:lang w:eastAsia="it-IT"/>
            <w14:ligatures w14:val="none"/>
          </w:rPr>
          <w:t>sentenza n. 107 del 2018</w:t>
        </w:r>
      </w:hyperlink>
      <w:r w:rsidRPr="009F482E">
        <w:rPr>
          <w:rFonts w:ascii="Lato" w:eastAsia="Times New Roman" w:hAnsi="Lato" w:cs="Times New Roman"/>
          <w:color w:val="000000"/>
          <w:kern w:val="0"/>
          <w:sz w:val="23"/>
          <w:szCs w:val="23"/>
          <w:lang w:eastAsia="it-IT"/>
          <w14:ligatures w14:val="none"/>
        </w:rPr>
        <w:t>, che cita l’art. 2, comma 3, della legge n. 328 del 2000).</w:t>
      </w:r>
    </w:p>
    <w:p w14:paraId="1FA605CA"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3F38C6B6"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Non è idoneo a superare la descritta incoerenza l’argomento speso dalla Regione a difesa della norma, secondo cui il requisito della residenza protratta per più di cinque anni servirebbe «a garantire </w:t>
      </w:r>
      <w:r w:rsidRPr="009F482E">
        <w:rPr>
          <w:rFonts w:ascii="Lato" w:eastAsia="Times New Roman" w:hAnsi="Lato" w:cs="Times New Roman"/>
          <w:color w:val="FF0000"/>
          <w:kern w:val="0"/>
          <w:sz w:val="23"/>
          <w:szCs w:val="23"/>
          <w:lang w:eastAsia="it-IT"/>
          <w14:ligatures w14:val="none"/>
        </w:rPr>
        <w:t xml:space="preserve">un’adeguata stabilità </w:t>
      </w:r>
      <w:r w:rsidRPr="009F482E">
        <w:rPr>
          <w:rFonts w:ascii="Lato" w:eastAsia="Times New Roman" w:hAnsi="Lato" w:cs="Times New Roman"/>
          <w:color w:val="000000"/>
          <w:kern w:val="0"/>
          <w:sz w:val="23"/>
          <w:szCs w:val="23"/>
          <w:lang w:eastAsia="it-IT"/>
          <w14:ligatures w14:val="none"/>
        </w:rPr>
        <w:t xml:space="preserve">nell’ambito della regione prima della concessione dell’alloggio» di edilizia residenziale pubblica, cioè di un «beneficio di carattere continuativo». </w:t>
      </w:r>
      <w:r w:rsidRPr="009F482E">
        <w:rPr>
          <w:rFonts w:ascii="Lato" w:eastAsia="Times New Roman" w:hAnsi="Lato" w:cs="Times New Roman"/>
          <w:color w:val="FF0000"/>
          <w:kern w:val="0"/>
          <w:sz w:val="23"/>
          <w:szCs w:val="23"/>
          <w:lang w:eastAsia="it-IT"/>
          <w14:ligatures w14:val="none"/>
        </w:rPr>
        <w:t xml:space="preserve">La previa residenza </w:t>
      </w:r>
      <w:proofErr w:type="spellStart"/>
      <w:r w:rsidRPr="009F482E">
        <w:rPr>
          <w:rFonts w:ascii="Lato" w:eastAsia="Times New Roman" w:hAnsi="Lato" w:cs="Times New Roman"/>
          <w:color w:val="FF0000"/>
          <w:kern w:val="0"/>
          <w:sz w:val="23"/>
          <w:szCs w:val="23"/>
          <w:lang w:eastAsia="it-IT"/>
          <w14:ligatures w14:val="none"/>
        </w:rPr>
        <w:t>ultraquinquennale</w:t>
      </w:r>
      <w:proofErr w:type="spellEnd"/>
      <w:r w:rsidRPr="009F482E">
        <w:rPr>
          <w:rFonts w:ascii="Lato" w:eastAsia="Times New Roman" w:hAnsi="Lato" w:cs="Times New Roman"/>
          <w:color w:val="FF0000"/>
          <w:kern w:val="0"/>
          <w:sz w:val="23"/>
          <w:szCs w:val="23"/>
          <w:lang w:eastAsia="it-IT"/>
          <w14:ligatures w14:val="none"/>
        </w:rPr>
        <w:t xml:space="preserve"> non è di per sé indice di un’elevata probabilità di permanenza in un determinato ambito territoriale, mentre a tali fini risulterebbero ben più significativi altri elementi sui quali si può ragionevolmente fondare una prognosi di stanzialità.</w:t>
      </w:r>
      <w:r w:rsidRPr="009F482E">
        <w:rPr>
          <w:rFonts w:ascii="Lato" w:eastAsia="Times New Roman" w:hAnsi="Lato" w:cs="Times New Roman"/>
          <w:color w:val="000000"/>
          <w:kern w:val="0"/>
          <w:sz w:val="23"/>
          <w:szCs w:val="23"/>
          <w:lang w:eastAsia="it-IT"/>
          <w14:ligatures w14:val="none"/>
        </w:rPr>
        <w:t xml:space="preserve"> In altri termini, la rilevanza conferita a una condizione del passato, quale è la residenza nei cinque anni precedenti, non sarebbe comunque oggettivamente idonea a evitare il “rischio di instabilità” del beneficiario dell’alloggio di edilizia residenziale pubblica, obiettivo che dovrebbe invece essere perseguito avendo riguardo agli indici di probabilità di permanenza per il futuro.</w:t>
      </w:r>
    </w:p>
    <w:p w14:paraId="002C1408"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36091734"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In ogni caso, si deve osservare che lo stesso “radicamento” territoriale, quand’anche fosse adeguatamente valutato (non con riferimento alla previa residenza protratta), </w:t>
      </w:r>
      <w:r w:rsidRPr="009F482E">
        <w:rPr>
          <w:rFonts w:ascii="Lato" w:eastAsia="Times New Roman" w:hAnsi="Lato" w:cs="Times New Roman"/>
          <w:color w:val="FF0000"/>
          <w:kern w:val="0"/>
          <w:sz w:val="23"/>
          <w:szCs w:val="23"/>
          <w:lang w:eastAsia="it-IT"/>
          <w14:ligatures w14:val="none"/>
        </w:rPr>
        <w:t>non potrebbe comunque assumere importanza tale da escludere qualsiasi rilievo del bisogno</w:t>
      </w:r>
      <w:r w:rsidRPr="009F482E">
        <w:rPr>
          <w:rFonts w:ascii="Lato" w:eastAsia="Times New Roman" w:hAnsi="Lato" w:cs="Times New Roman"/>
          <w:color w:val="000000"/>
          <w:kern w:val="0"/>
          <w:sz w:val="23"/>
          <w:szCs w:val="23"/>
          <w:lang w:eastAsia="it-IT"/>
          <w14:ligatures w14:val="none"/>
        </w:rPr>
        <w:t xml:space="preserve">. Data la funzione sociale del servizio di edilizia residenziale pubblica, </w:t>
      </w:r>
      <w:r w:rsidRPr="009F482E">
        <w:rPr>
          <w:rFonts w:ascii="Lato" w:eastAsia="Times New Roman" w:hAnsi="Lato" w:cs="Times New Roman"/>
          <w:color w:val="FF0000"/>
          <w:kern w:val="0"/>
          <w:sz w:val="23"/>
          <w:szCs w:val="23"/>
          <w:lang w:eastAsia="it-IT"/>
          <w14:ligatures w14:val="none"/>
        </w:rPr>
        <w:t>è irragionevole che anche i soggetti più bisognosi siano esclusi a priori dall’assegnazione degli alloggi solo perché non offrirebbero sufficienti garanzie di stabilità.</w:t>
      </w:r>
      <w:r w:rsidRPr="009F482E">
        <w:rPr>
          <w:rFonts w:ascii="Lato" w:eastAsia="Times New Roman" w:hAnsi="Lato" w:cs="Times New Roman"/>
          <w:color w:val="000000"/>
          <w:kern w:val="0"/>
          <w:sz w:val="23"/>
          <w:szCs w:val="23"/>
          <w:lang w:eastAsia="it-IT"/>
          <w14:ligatures w14:val="none"/>
        </w:rPr>
        <w:t xml:space="preserve"> La prospettiva della stabilità può rientrare tra gli elementi da valutare in sede di formazione della graduatoria – e del resto la stessa legge regionale censurata dà rilievo, ai fini della graduatoria, al «periodo di residenza nel comune dove è localizzata l’unità abitativa da assegnare» e alla «durata del periodo di residenza in Regione» (art. 23, comma 10, lettera d) – ma non può costituire una condizione di generalizzata esclusione dall’accesso al servizio, giacché </w:t>
      </w:r>
      <w:r w:rsidRPr="009F482E">
        <w:rPr>
          <w:rFonts w:ascii="Lato" w:eastAsia="Times New Roman" w:hAnsi="Lato" w:cs="Times New Roman"/>
          <w:color w:val="FF0000"/>
          <w:kern w:val="0"/>
          <w:sz w:val="23"/>
          <w:szCs w:val="23"/>
          <w:lang w:eastAsia="it-IT"/>
          <w14:ligatures w14:val="none"/>
        </w:rPr>
        <w:t xml:space="preserve">ne risulterebbe negata in radice la funzione sociale dell’edilizia residenziale pubblica. </w:t>
      </w:r>
      <w:r w:rsidRPr="009F482E">
        <w:rPr>
          <w:rFonts w:ascii="Lato" w:eastAsia="Times New Roman" w:hAnsi="Lato" w:cs="Times New Roman"/>
          <w:color w:val="000000"/>
          <w:kern w:val="0"/>
          <w:sz w:val="23"/>
          <w:szCs w:val="23"/>
          <w:lang w:eastAsia="it-IT"/>
          <w14:ligatures w14:val="none"/>
        </w:rPr>
        <w:t>Questa Corte ha già osservato che, «a differenza del requisito della residenza tout court (che serve a identificare l’ente pubblico competente a erogare una certa prestazione ed è un requisito che ciascun soggetto può soddisfare in ogni momento), quello della residenza protratta integra una condizione che può precludere in concreto a un determinato soggetto l’accesso alle prestazioni pubbliche sia nella regione di attuale residenza sia in quella di provenienza (nella quale non è più residente)», con la conseguenza che le norme che introducono tale requisito vanno «vagliate con particolare attenzione, in quanto implicano il rischio di privare certi soggetti dell’accesso alle prestazioni pubbliche solo per il fatto di aver esercitato il proprio diritto di circolazione o di aver dovuto mutare regione di residenza» (</w:t>
      </w:r>
      <w:hyperlink r:id="rId28" w:history="1">
        <w:r w:rsidRPr="009F482E">
          <w:rPr>
            <w:rFonts w:ascii="Lato" w:eastAsia="Times New Roman" w:hAnsi="Lato" w:cs="Times New Roman"/>
            <w:color w:val="0E10A1"/>
            <w:kern w:val="0"/>
            <w:sz w:val="23"/>
            <w:szCs w:val="23"/>
            <w:u w:val="single"/>
            <w:shd w:val="clear" w:color="auto" w:fill="FBFB68"/>
            <w:lang w:eastAsia="it-IT"/>
            <w14:ligatures w14:val="none"/>
          </w:rPr>
          <w:t>sentenza n. 107 del 2018</w:t>
        </w:r>
      </w:hyperlink>
      <w:r w:rsidRPr="009F482E">
        <w:rPr>
          <w:rFonts w:ascii="Lato" w:eastAsia="Times New Roman" w:hAnsi="Lato" w:cs="Times New Roman"/>
          <w:color w:val="000000"/>
          <w:kern w:val="0"/>
          <w:sz w:val="23"/>
          <w:szCs w:val="23"/>
          <w:lang w:eastAsia="it-IT"/>
          <w14:ligatures w14:val="none"/>
        </w:rPr>
        <w:t>).</w:t>
      </w:r>
    </w:p>
    <w:p w14:paraId="15CBE463"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4A055832"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3.2.– Le considerazioni svolte sopra con riferimento al requisito della residenza protratta valgono in larga parte anche per l’altro requisito previsto dalla norma censurata («svolgimento di attività lavorativa in Regione Lombardia per almeno cinque anni nel periodo immediatamente precedente la data di presentazione della domanda») in alternativa a quello della residenza </w:t>
      </w:r>
      <w:proofErr w:type="spellStart"/>
      <w:r w:rsidRPr="009F482E">
        <w:rPr>
          <w:rFonts w:ascii="Lato" w:eastAsia="Times New Roman" w:hAnsi="Lato" w:cs="Times New Roman"/>
          <w:color w:val="000000"/>
          <w:kern w:val="0"/>
          <w:sz w:val="23"/>
          <w:szCs w:val="23"/>
          <w:lang w:eastAsia="it-IT"/>
          <w14:ligatures w14:val="none"/>
        </w:rPr>
        <w:t>ultraquinquennale</w:t>
      </w:r>
      <w:proofErr w:type="spellEnd"/>
      <w:r w:rsidRPr="009F482E">
        <w:rPr>
          <w:rFonts w:ascii="Lato" w:eastAsia="Times New Roman" w:hAnsi="Lato" w:cs="Times New Roman"/>
          <w:color w:val="000000"/>
          <w:kern w:val="0"/>
          <w:sz w:val="23"/>
          <w:szCs w:val="23"/>
          <w:lang w:eastAsia="it-IT"/>
          <w14:ligatures w14:val="none"/>
        </w:rPr>
        <w:t xml:space="preserve">. Nemmeno la condizione di previa occupazione protratta presenta infatti alcuna ragionevole connessione con la ratio dell’ERP. Inoltre, se è vero che l’attuale svolgimento </w:t>
      </w:r>
      <w:r w:rsidRPr="009F482E">
        <w:rPr>
          <w:rFonts w:ascii="Lato" w:eastAsia="Times New Roman" w:hAnsi="Lato" w:cs="Times New Roman"/>
          <w:color w:val="000000"/>
          <w:kern w:val="0"/>
          <w:sz w:val="23"/>
          <w:szCs w:val="23"/>
          <w:lang w:eastAsia="it-IT"/>
          <w14:ligatures w14:val="none"/>
        </w:rPr>
        <w:lastRenderedPageBreak/>
        <w:t xml:space="preserve">di attività lavorativa nella regione può essere considerato un ragionevole indice di collegamento con il territorio, è innegabile che configurare l’occupazione </w:t>
      </w:r>
      <w:proofErr w:type="spellStart"/>
      <w:r w:rsidRPr="009F482E">
        <w:rPr>
          <w:rFonts w:ascii="Lato" w:eastAsia="Times New Roman" w:hAnsi="Lato" w:cs="Times New Roman"/>
          <w:color w:val="000000"/>
          <w:kern w:val="0"/>
          <w:sz w:val="23"/>
          <w:szCs w:val="23"/>
          <w:lang w:eastAsia="it-IT"/>
          <w14:ligatures w14:val="none"/>
        </w:rPr>
        <w:t>ultraquinquennale</w:t>
      </w:r>
      <w:proofErr w:type="spellEnd"/>
      <w:r w:rsidRPr="009F482E">
        <w:rPr>
          <w:rFonts w:ascii="Lato" w:eastAsia="Times New Roman" w:hAnsi="Lato" w:cs="Times New Roman"/>
          <w:color w:val="000000"/>
          <w:kern w:val="0"/>
          <w:sz w:val="23"/>
          <w:szCs w:val="23"/>
          <w:lang w:eastAsia="it-IT"/>
          <w14:ligatures w14:val="none"/>
        </w:rPr>
        <w:t xml:space="preserve"> come soglia rigida di accesso significa negare qualsiasi rilievo al bisogno nella concessione del beneficio, e anzi comporta la sua negazione proprio ai soggetti economicamente più deboli, in contraddizione con la funzione sociale del servizio.</w:t>
      </w:r>
    </w:p>
    <w:p w14:paraId="4A1552C6"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2F156340"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xml:space="preserve">3.3.– In conclusione, l’art. 22, comma 1, lettera b), della legge reg. Lombardia n. 16 del 2016, nella parte in cui fissa il requisito della residenza (o dell’occupazione) </w:t>
      </w:r>
      <w:proofErr w:type="spellStart"/>
      <w:r w:rsidRPr="009F482E">
        <w:rPr>
          <w:rFonts w:ascii="Lato" w:eastAsia="Times New Roman" w:hAnsi="Lato" w:cs="Times New Roman"/>
          <w:color w:val="000000"/>
          <w:kern w:val="0"/>
          <w:sz w:val="23"/>
          <w:szCs w:val="23"/>
          <w:lang w:eastAsia="it-IT"/>
          <w14:ligatures w14:val="none"/>
        </w:rPr>
        <w:t>ultraquinquennale</w:t>
      </w:r>
      <w:proofErr w:type="spellEnd"/>
      <w:r w:rsidRPr="009F482E">
        <w:rPr>
          <w:rFonts w:ascii="Lato" w:eastAsia="Times New Roman" w:hAnsi="Lato" w:cs="Times New Roman"/>
          <w:color w:val="000000"/>
          <w:kern w:val="0"/>
          <w:sz w:val="23"/>
          <w:szCs w:val="23"/>
          <w:lang w:eastAsia="it-IT"/>
          <w14:ligatures w14:val="none"/>
        </w:rPr>
        <w:t xml:space="preserve"> in regione come condizione di accesso al beneficio dell’alloggio di edilizia residenziale pubblica, contrasta sia con i principi di eguaglianza e ragionevolezza di cui all’art. 3, primo comma, Cost., perché produce una irragionevole disparità di trattamento a danno di chi, cittadino o straniero, non ne sia in possesso, sia </w:t>
      </w:r>
      <w:r w:rsidRPr="009F482E">
        <w:rPr>
          <w:rFonts w:ascii="Lato" w:eastAsia="Times New Roman" w:hAnsi="Lato" w:cs="Times New Roman"/>
          <w:color w:val="FF0000"/>
          <w:kern w:val="0"/>
          <w:sz w:val="23"/>
          <w:szCs w:val="23"/>
          <w:lang w:eastAsia="it-IT"/>
          <w14:ligatures w14:val="none"/>
        </w:rPr>
        <w:t>con il principio di eguaglianza sostanziale di cui all’art. 3, secondo comma, Cost., perché tale requisito contraddice la funzione sociale dell’edilizia residenziale pubblica</w:t>
      </w:r>
      <w:r w:rsidRPr="009F482E">
        <w:rPr>
          <w:rFonts w:ascii="Lato" w:eastAsia="Times New Roman" w:hAnsi="Lato" w:cs="Times New Roman"/>
          <w:color w:val="000000"/>
          <w:kern w:val="0"/>
          <w:sz w:val="23"/>
          <w:szCs w:val="23"/>
          <w:lang w:eastAsia="it-IT"/>
          <w14:ligatures w14:val="none"/>
        </w:rPr>
        <w:t>.</w:t>
      </w:r>
    </w:p>
    <w:p w14:paraId="628D689D"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65F32B1F"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4.– A seguito dell’accoglimento della prima censura, le questioni poste con riferimento all’art. 10, terzo comma, e all’art. 117, primo comma, Cost. restano assorbite, unitamente alle relative eccezioni di inammissibilità.</w:t>
      </w:r>
    </w:p>
    <w:p w14:paraId="3CCA272B"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324D6D78" w14:textId="77777777" w:rsidR="009F482E" w:rsidRPr="009F482E" w:rsidRDefault="009F482E" w:rsidP="009F482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bookmarkStart w:id="0" w:name="dispositivo"/>
      <w:bookmarkEnd w:id="0"/>
      <w:r w:rsidRPr="009F482E">
        <w:rPr>
          <w:rFonts w:ascii="Lato" w:eastAsia="Times New Roman" w:hAnsi="Lato" w:cs="Times New Roman"/>
          <w:color w:val="000000"/>
          <w:kern w:val="0"/>
          <w:sz w:val="23"/>
          <w:szCs w:val="23"/>
          <w:lang w:eastAsia="it-IT"/>
          <w14:ligatures w14:val="none"/>
        </w:rPr>
        <w:t xml:space="preserve">PER </w:t>
      </w:r>
      <w:proofErr w:type="gramStart"/>
      <w:r w:rsidRPr="009F482E">
        <w:rPr>
          <w:rFonts w:ascii="Lato" w:eastAsia="Times New Roman" w:hAnsi="Lato" w:cs="Times New Roman"/>
          <w:color w:val="000000"/>
          <w:kern w:val="0"/>
          <w:sz w:val="23"/>
          <w:szCs w:val="23"/>
          <w:lang w:eastAsia="it-IT"/>
          <w14:ligatures w14:val="none"/>
        </w:rPr>
        <w:t>QUESTI  MOTIVI</w:t>
      </w:r>
      <w:proofErr w:type="gramEnd"/>
    </w:p>
    <w:p w14:paraId="5F6D6E0E"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04240AA6" w14:textId="77777777" w:rsidR="009F482E" w:rsidRPr="009F482E" w:rsidRDefault="009F482E" w:rsidP="009F482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LA CORTE COSTITUZIONALE</w:t>
      </w:r>
    </w:p>
    <w:p w14:paraId="75B92392"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5A968AC1"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i/>
          <w:iCs/>
          <w:color w:val="000000"/>
          <w:kern w:val="0"/>
          <w:sz w:val="23"/>
          <w:szCs w:val="23"/>
          <w:lang w:eastAsia="it-IT"/>
          <w14:ligatures w14:val="none"/>
        </w:rPr>
        <w:t>dichiara </w:t>
      </w:r>
      <w:r w:rsidRPr="009F482E">
        <w:rPr>
          <w:rFonts w:ascii="Lato" w:eastAsia="Times New Roman" w:hAnsi="Lato" w:cs="Times New Roman"/>
          <w:color w:val="000000"/>
          <w:kern w:val="0"/>
          <w:sz w:val="23"/>
          <w:szCs w:val="23"/>
          <w:lang w:eastAsia="it-IT"/>
          <w14:ligatures w14:val="none"/>
        </w:rPr>
        <w:t>l’illegittimità costituzionale dell’art. 22, comma 1, lettera b), della legge della Regione Lombardia 8 luglio 2016, n. 16 (Disciplina regionale dei servizi abitativi), limitatamente alle parole «per almeno cinque anni nel periodo immediatamente precedente la data di presentazione della domanda».</w:t>
      </w:r>
    </w:p>
    <w:p w14:paraId="5C55EB8C"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673A471A"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Così deciso in Roma, nella sede della Corte costituzionale, Palazzo della Consulta, il 28 gennaio 2020.</w:t>
      </w:r>
    </w:p>
    <w:p w14:paraId="41C6AA34"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7D7C6D18"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F.to:</w:t>
      </w:r>
    </w:p>
    <w:p w14:paraId="29723A9D"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1E3F6D7B"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Marta CARTABIA, Presidente</w:t>
      </w:r>
    </w:p>
    <w:p w14:paraId="0257D65D"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7EC7569E"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Daria de PRETIS, Redattore</w:t>
      </w:r>
    </w:p>
    <w:p w14:paraId="4052EB61"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481CBBEF"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Roberto MILANA, Cancelliere</w:t>
      </w:r>
    </w:p>
    <w:p w14:paraId="1162958C"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 </w:t>
      </w:r>
    </w:p>
    <w:p w14:paraId="0E0FC78C" w14:textId="77777777" w:rsidR="009F482E" w:rsidRPr="009F482E" w:rsidRDefault="009F482E" w:rsidP="009F482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9F482E">
        <w:rPr>
          <w:rFonts w:ascii="Lato" w:eastAsia="Times New Roman" w:hAnsi="Lato" w:cs="Times New Roman"/>
          <w:color w:val="000000"/>
          <w:kern w:val="0"/>
          <w:sz w:val="23"/>
          <w:szCs w:val="23"/>
          <w:lang w:eastAsia="it-IT"/>
          <w14:ligatures w14:val="none"/>
        </w:rPr>
        <w:t>Depositata in Cancelleria il 9 marzo 2020.</w:t>
      </w:r>
    </w:p>
    <w:p w14:paraId="0E66F55E" w14:textId="77777777" w:rsidR="009F482E" w:rsidRPr="009F482E" w:rsidRDefault="009F482E" w:rsidP="009F482E">
      <w:pPr>
        <w:rPr>
          <w:rFonts w:ascii="Times New Roman" w:eastAsia="Times New Roman" w:hAnsi="Times New Roman" w:cs="Times New Roman"/>
          <w:kern w:val="0"/>
          <w:lang w:eastAsia="it-IT"/>
          <w14:ligatures w14:val="none"/>
        </w:rPr>
      </w:pPr>
    </w:p>
    <w:p w14:paraId="48EF2582"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2E"/>
    <w:rsid w:val="004671F7"/>
    <w:rsid w:val="00630CA8"/>
    <w:rsid w:val="009F482E"/>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B7925F"/>
  <w15:chartTrackingRefBased/>
  <w15:docId w15:val="{699C1E4D-0FD9-A843-8E6D-0B1D3A5B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9F482E"/>
    <w:rPr>
      <w:i/>
      <w:iCs/>
    </w:rPr>
  </w:style>
  <w:style w:type="paragraph" w:styleId="NormaleWeb">
    <w:name w:val="Normal (Web)"/>
    <w:basedOn w:val="Normale"/>
    <w:uiPriority w:val="99"/>
    <w:semiHidden/>
    <w:unhideWhenUsed/>
    <w:rsid w:val="009F482E"/>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9F482E"/>
    <w:rPr>
      <w:color w:val="0000FF"/>
      <w:u w:val="single"/>
    </w:rPr>
  </w:style>
  <w:style w:type="character" w:customStyle="1" w:styleId="apple-converted-space">
    <w:name w:val="apple-converted-space"/>
    <w:basedOn w:val="Carpredefinitoparagrafo"/>
    <w:rsid w:val="009F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7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1988/0404s-88.html" TargetMode="External"/><Relationship Id="rId13" Type="http://schemas.openxmlformats.org/officeDocument/2006/relationships/hyperlink" Target="https://giurcost.org/decisioni/2018/0166s-18.html" TargetMode="External"/><Relationship Id="rId18" Type="http://schemas.openxmlformats.org/officeDocument/2006/relationships/hyperlink" Target="https://giurcost.org/decisioni/2014/0168s-14.html" TargetMode="External"/><Relationship Id="rId26" Type="http://schemas.openxmlformats.org/officeDocument/2006/relationships/hyperlink" Target="https://giurcost.org/decisioni/2014/0168s-14.html" TargetMode="External"/><Relationship Id="rId3" Type="http://schemas.openxmlformats.org/officeDocument/2006/relationships/webSettings" Target="webSettings.xml"/><Relationship Id="rId21" Type="http://schemas.openxmlformats.org/officeDocument/2006/relationships/hyperlink" Target="https://giurcost.org/decisioni/2014/0168s-14.html" TargetMode="External"/><Relationship Id="rId7" Type="http://schemas.openxmlformats.org/officeDocument/2006/relationships/hyperlink" Target="https://giurcost.org/decisioni/2009/0209s-09.html" TargetMode="External"/><Relationship Id="rId12" Type="http://schemas.openxmlformats.org/officeDocument/2006/relationships/hyperlink" Target="https://giurcost.org/decisioni/2010/0076o-10.html" TargetMode="External"/><Relationship Id="rId17" Type="http://schemas.openxmlformats.org/officeDocument/2006/relationships/hyperlink" Target="https://giurcost.org/decisioni/2000/0176s-00.html" TargetMode="External"/><Relationship Id="rId25" Type="http://schemas.openxmlformats.org/officeDocument/2006/relationships/hyperlink" Target="https://giurcost.org/decisioni/2018/0166s-18.html" TargetMode="External"/><Relationship Id="rId2" Type="http://schemas.openxmlformats.org/officeDocument/2006/relationships/settings" Target="settings.xml"/><Relationship Id="rId16" Type="http://schemas.openxmlformats.org/officeDocument/2006/relationships/hyperlink" Target="https://giurcost.org/decisioni/2009/0209s-09.html" TargetMode="External"/><Relationship Id="rId20" Type="http://schemas.openxmlformats.org/officeDocument/2006/relationships/hyperlink" Target="https://giurcost.org/decisioni/2018/0107s-18.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iurcost.org/decisioni/2014/0168s-14.html" TargetMode="External"/><Relationship Id="rId11" Type="http://schemas.openxmlformats.org/officeDocument/2006/relationships/hyperlink" Target="https://giurcost.org/decisioni/1988/0404s-88.html" TargetMode="External"/><Relationship Id="rId24" Type="http://schemas.openxmlformats.org/officeDocument/2006/relationships/hyperlink" Target="https://giurcost.org/decisioni/2011/0040s-11.html" TargetMode="External"/><Relationship Id="rId5" Type="http://schemas.openxmlformats.org/officeDocument/2006/relationships/hyperlink" Target="https://giurcost.org/decisioni/2018/0168s-18.html" TargetMode="External"/><Relationship Id="rId15" Type="http://schemas.openxmlformats.org/officeDocument/2006/relationships/hyperlink" Target="https://giurcost.org/decisioni/2014/0168s-14.html" TargetMode="External"/><Relationship Id="rId23" Type="http://schemas.openxmlformats.org/officeDocument/2006/relationships/hyperlink" Target="https://giurcost.org/decisioni/2013/0133s-13.html" TargetMode="External"/><Relationship Id="rId28" Type="http://schemas.openxmlformats.org/officeDocument/2006/relationships/hyperlink" Target="https://giurcost.org/decisioni/2018/0107s-18.html" TargetMode="External"/><Relationship Id="rId10" Type="http://schemas.openxmlformats.org/officeDocument/2006/relationships/hyperlink" Target="https://giurcost.org/decisioni/2011/0061s-11.html" TargetMode="External"/><Relationship Id="rId19" Type="http://schemas.openxmlformats.org/officeDocument/2006/relationships/hyperlink" Target="https://giurcost.org/decisioni/2018/0166s-18.html" TargetMode="External"/><Relationship Id="rId4" Type="http://schemas.openxmlformats.org/officeDocument/2006/relationships/hyperlink" Target="https://giurcost.org/decisioni/1988/0217s-88.html" TargetMode="External"/><Relationship Id="rId9" Type="http://schemas.openxmlformats.org/officeDocument/2006/relationships/hyperlink" Target="https://giurcost.org/decisioni/2013/0161s-13.html" TargetMode="External"/><Relationship Id="rId14" Type="http://schemas.openxmlformats.org/officeDocument/2006/relationships/hyperlink" Target="https://giurcost.org/decisioni/2016/0038s-16.html" TargetMode="External"/><Relationship Id="rId22" Type="http://schemas.openxmlformats.org/officeDocument/2006/relationships/hyperlink" Target="https://giurcost.org/decisioni/2013/0172s-13.html" TargetMode="External"/><Relationship Id="rId27" Type="http://schemas.openxmlformats.org/officeDocument/2006/relationships/hyperlink" Target="https://giurcost.org/decisioni/2018/0107s-18.html"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2255</Words>
  <Characters>12859</Characters>
  <Application>Microsoft Office Word</Application>
  <DocSecurity>0</DocSecurity>
  <Lines>107</Lines>
  <Paragraphs>30</Paragraphs>
  <ScaleCrop>false</ScaleCrop>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2023-10-29T16:12:00Z</dcterms:created>
  <dcterms:modified xsi:type="dcterms:W3CDTF">2023-10-29T16:20:00Z</dcterms:modified>
</cp:coreProperties>
</file>