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218C" w14:textId="7C0AF54D" w:rsidR="00A52DF1" w:rsidRPr="00A52DF1" w:rsidRDefault="00A52DF1" w:rsidP="00A52DF1">
      <w:pPr>
        <w:spacing w:after="150" w:line="338" w:lineRule="atLeast"/>
        <w:ind w:firstLine="284"/>
        <w:jc w:val="center"/>
        <w:textAlignment w:val="baseline"/>
        <w:rPr>
          <w:rFonts w:ascii="Lato" w:eastAsia="Times New Roman" w:hAnsi="Lato" w:cs="Times New Roman"/>
          <w:b/>
          <w:bCs/>
          <w:color w:val="000000"/>
          <w:kern w:val="0"/>
          <w:sz w:val="23"/>
          <w:szCs w:val="23"/>
          <w:lang w:eastAsia="it-IT"/>
          <w14:ligatures w14:val="none"/>
        </w:rPr>
      </w:pPr>
      <w:r w:rsidRPr="00A52DF1">
        <w:rPr>
          <w:rFonts w:ascii="Lato" w:eastAsia="Times New Roman" w:hAnsi="Lato" w:cs="Times New Roman"/>
          <w:b/>
          <w:bCs/>
          <w:color w:val="000000"/>
          <w:kern w:val="0"/>
          <w:sz w:val="23"/>
          <w:szCs w:val="23"/>
          <w:lang w:eastAsia="it-IT"/>
          <w14:ligatures w14:val="none"/>
        </w:rPr>
        <w:t>Sent. 186-2020</w:t>
      </w:r>
    </w:p>
    <w:p w14:paraId="5EC912A5" w14:textId="4D94C8C6" w:rsidR="00A52DF1" w:rsidRPr="00A52DF1" w:rsidRDefault="00A52DF1" w:rsidP="00A52DF1">
      <w:pPr>
        <w:spacing w:after="150" w:line="338" w:lineRule="atLeast"/>
        <w:ind w:firstLine="284"/>
        <w:jc w:val="both"/>
        <w:textAlignment w:val="baseline"/>
        <w:rPr>
          <w:rFonts w:ascii="Lato" w:eastAsia="Times New Roman" w:hAnsi="Lato" w:cs="Times New Roman"/>
          <w:color w:val="FF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4.– Passando agli altri parametri costituzionali asseritamente violati, i giudici a </w:t>
      </w:r>
      <w:proofErr w:type="spellStart"/>
      <w:r w:rsidRPr="00A52DF1">
        <w:rPr>
          <w:rFonts w:ascii="Lato" w:eastAsia="Times New Roman" w:hAnsi="Lato" w:cs="Times New Roman"/>
          <w:color w:val="000000"/>
          <w:kern w:val="0"/>
          <w:sz w:val="23"/>
          <w:szCs w:val="23"/>
          <w:lang w:eastAsia="it-IT"/>
          <w14:ligatures w14:val="none"/>
        </w:rPr>
        <w:t>quibus</w:t>
      </w:r>
      <w:proofErr w:type="spellEnd"/>
      <w:r w:rsidRPr="00A52DF1">
        <w:rPr>
          <w:rFonts w:ascii="Lato" w:eastAsia="Times New Roman" w:hAnsi="Lato" w:cs="Times New Roman"/>
          <w:color w:val="000000"/>
          <w:kern w:val="0"/>
          <w:sz w:val="23"/>
          <w:szCs w:val="23"/>
          <w:lang w:eastAsia="it-IT"/>
          <w14:ligatures w14:val="none"/>
        </w:rPr>
        <w:t xml:space="preserve"> ritengono innanzitutto che la norma censurata si ponga in </w:t>
      </w:r>
      <w:r w:rsidRPr="00A52DF1">
        <w:rPr>
          <w:rFonts w:ascii="Lato" w:eastAsia="Times New Roman" w:hAnsi="Lato" w:cs="Times New Roman"/>
          <w:color w:val="FF0000"/>
          <w:kern w:val="0"/>
          <w:sz w:val="23"/>
          <w:szCs w:val="23"/>
          <w:lang w:eastAsia="it-IT"/>
          <w14:ligatures w14:val="none"/>
        </w:rPr>
        <w:t>contrasto con l’art. 3 Cost. sotto molteplici profili, sostanzialmente perché introdurrebbe una deroga, priva dei «requisiti di razionalità e ragionevolezza», alla disciplina più volte richiamata dell’art. 6, comma 7</w:t>
      </w:r>
      <w:r w:rsidR="00320BAE" w:rsidRPr="00320BAE">
        <w:rPr>
          <w:rStyle w:val="Rimandonotaapidipagina"/>
          <w:rFonts w:ascii="Lato" w:eastAsia="Times New Roman" w:hAnsi="Lato" w:cs="Times New Roman"/>
          <w:color w:val="FF0000"/>
          <w:kern w:val="0"/>
          <w:sz w:val="23"/>
          <w:szCs w:val="23"/>
          <w:lang w:eastAsia="it-IT"/>
          <w14:ligatures w14:val="none"/>
        </w:rPr>
        <w:footnoteReference w:id="1"/>
      </w:r>
      <w:r w:rsidRPr="00A52DF1">
        <w:rPr>
          <w:rFonts w:ascii="Lato" w:eastAsia="Times New Roman" w:hAnsi="Lato" w:cs="Times New Roman"/>
          <w:color w:val="FF0000"/>
          <w:kern w:val="0"/>
          <w:sz w:val="23"/>
          <w:szCs w:val="23"/>
          <w:lang w:eastAsia="it-IT"/>
          <w14:ligatures w14:val="none"/>
        </w:rPr>
        <w:t>, del d.lgs. n. 286 del 1998.</w:t>
      </w:r>
    </w:p>
    <w:p w14:paraId="62DD2E6A"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Le questioni di legittimità costituzionale sollevate da tutti i rimettenti in riferimento all’art. 3 Cost. </w:t>
      </w:r>
      <w:r w:rsidRPr="00A52DF1">
        <w:rPr>
          <w:rFonts w:ascii="Lato" w:eastAsia="Times New Roman" w:hAnsi="Lato" w:cs="Times New Roman"/>
          <w:color w:val="FF0000"/>
          <w:kern w:val="0"/>
          <w:sz w:val="23"/>
          <w:szCs w:val="23"/>
          <w:lang w:eastAsia="it-IT"/>
          <w14:ligatures w14:val="none"/>
        </w:rPr>
        <w:t>sono fondate</w:t>
      </w:r>
      <w:r w:rsidRPr="00A52DF1">
        <w:rPr>
          <w:rFonts w:ascii="Lato" w:eastAsia="Times New Roman" w:hAnsi="Lato" w:cs="Times New Roman"/>
          <w:color w:val="000000"/>
          <w:kern w:val="0"/>
          <w:sz w:val="23"/>
          <w:szCs w:val="23"/>
          <w:lang w:eastAsia="it-IT"/>
          <w14:ligatures w14:val="none"/>
        </w:rPr>
        <w:t>.</w:t>
      </w:r>
    </w:p>
    <w:p w14:paraId="5A4A769E"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4.1.– Sono innanzitutto </w:t>
      </w:r>
      <w:r w:rsidRPr="00A52DF1">
        <w:rPr>
          <w:rFonts w:ascii="Lato" w:eastAsia="Times New Roman" w:hAnsi="Lato" w:cs="Times New Roman"/>
          <w:color w:val="FF0000"/>
          <w:kern w:val="0"/>
          <w:sz w:val="23"/>
          <w:szCs w:val="23"/>
          <w:lang w:eastAsia="it-IT"/>
          <w14:ligatures w14:val="none"/>
        </w:rPr>
        <w:t xml:space="preserve">meritevoli di accoglimento le censure prospettate per l’irrazionalità intrinseca della disposizione censurata, in ragione della sua incoerenza rispetto alle finalità perseguite dal </w:t>
      </w:r>
      <w:proofErr w:type="spellStart"/>
      <w:r w:rsidRPr="00A52DF1">
        <w:rPr>
          <w:rFonts w:ascii="Lato" w:eastAsia="Times New Roman" w:hAnsi="Lato" w:cs="Times New Roman"/>
          <w:color w:val="FF0000"/>
          <w:kern w:val="0"/>
          <w:sz w:val="23"/>
          <w:szCs w:val="23"/>
          <w:lang w:eastAsia="it-IT"/>
          <w14:ligatures w14:val="none"/>
        </w:rPr>
        <w:t>d.l.</w:t>
      </w:r>
      <w:proofErr w:type="spellEnd"/>
      <w:r w:rsidRPr="00A52DF1">
        <w:rPr>
          <w:rFonts w:ascii="Lato" w:eastAsia="Times New Roman" w:hAnsi="Lato" w:cs="Times New Roman"/>
          <w:color w:val="FF0000"/>
          <w:kern w:val="0"/>
          <w:sz w:val="23"/>
          <w:szCs w:val="23"/>
          <w:lang w:eastAsia="it-IT"/>
          <w14:ligatures w14:val="none"/>
        </w:rPr>
        <w:t xml:space="preserve"> n. 113 del 2018</w:t>
      </w:r>
      <w:r w:rsidRPr="00A52DF1">
        <w:rPr>
          <w:rFonts w:ascii="Lato" w:eastAsia="Times New Roman" w:hAnsi="Lato" w:cs="Times New Roman"/>
          <w:color w:val="000000"/>
          <w:kern w:val="0"/>
          <w:sz w:val="23"/>
          <w:szCs w:val="23"/>
          <w:lang w:eastAsia="it-IT"/>
          <w14:ligatures w14:val="none"/>
        </w:rPr>
        <w:t>.</w:t>
      </w:r>
    </w:p>
    <w:p w14:paraId="75B56AA1"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Come si è visto dalla ricostruzione della ratio della norma in esame, il legislatore avrebbe inteso </w:t>
      </w:r>
      <w:r w:rsidRPr="00A52DF1">
        <w:rPr>
          <w:rFonts w:ascii="Lato" w:eastAsia="Times New Roman" w:hAnsi="Lato" w:cs="Times New Roman"/>
          <w:color w:val="FF0000"/>
          <w:kern w:val="0"/>
          <w:sz w:val="23"/>
          <w:szCs w:val="23"/>
          <w:lang w:eastAsia="it-IT"/>
          <w14:ligatures w14:val="none"/>
        </w:rPr>
        <w:t>liberare le amministrazioni comunali, sul cui territorio sono situati i centri di accoglienza degli stranieri richiedenti asilo, dall’onere di far fronte agli adempimenti in materia di iscrizione anagrafica degli stessi. Da questo punto di vista, la precarietà della loro permanenza sul territorio è stata ritenuta argomento idoneo a giustificare l’esclusione dell’iscrizione anagrafica</w:t>
      </w:r>
      <w:r w:rsidRPr="00A52DF1">
        <w:rPr>
          <w:rFonts w:ascii="Lato" w:eastAsia="Times New Roman" w:hAnsi="Lato" w:cs="Times New Roman"/>
          <w:color w:val="000000"/>
          <w:kern w:val="0"/>
          <w:sz w:val="23"/>
          <w:szCs w:val="23"/>
          <w:lang w:eastAsia="it-IT"/>
          <w14:ligatures w14:val="none"/>
        </w:rPr>
        <w:t>.</w:t>
      </w:r>
    </w:p>
    <w:p w14:paraId="4BC89D85"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Così provvedendo, tuttavia, </w:t>
      </w:r>
      <w:r w:rsidRPr="00A52DF1">
        <w:rPr>
          <w:rFonts w:ascii="Lato" w:eastAsia="Times New Roman" w:hAnsi="Lato" w:cs="Times New Roman"/>
          <w:color w:val="FF0000"/>
          <w:kern w:val="0"/>
          <w:sz w:val="23"/>
          <w:szCs w:val="23"/>
          <w:lang w:eastAsia="it-IT"/>
          <w14:ligatures w14:val="none"/>
        </w:rPr>
        <w:t>il legislatore contraddice la ratio complessiva del decreto-legge al cui interno si colloca la disposizione denunciata. Infatti, a dispetto del dichiarato obiettivo dell’intervento normativo di aumentare il livello di sicurezza pubblica, la norma in esame, impedendo l’iscrizione anagrafica dei richiedenti asilo, finisce con il limitare le capacità di controllo e monitoraggio dell’autorità pubblica sulla popolazione effettivamente residente sul suo territorio, escludendo da essa una categoria di persone, gli stranieri richiedenti asilo, regolarmente soggiornanti nel territorio italiano</w:t>
      </w:r>
      <w:r w:rsidRPr="00A52DF1">
        <w:rPr>
          <w:rFonts w:ascii="Lato" w:eastAsia="Times New Roman" w:hAnsi="Lato" w:cs="Times New Roman"/>
          <w:color w:val="000000"/>
          <w:kern w:val="0"/>
          <w:sz w:val="23"/>
          <w:szCs w:val="23"/>
          <w:lang w:eastAsia="it-IT"/>
          <w14:ligatures w14:val="none"/>
        </w:rPr>
        <w:t>. E ciò senza che questa esclusione possa ragionevolmente giustificarsi alla luce degli obblighi di registrazione della popolazione residente.</w:t>
      </w:r>
    </w:p>
    <w:p w14:paraId="6A4FDAE5"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Pur non potendosi negare che sui comuni interessati gravi un onere ulteriore (rispetto a quello gravante sugli altri comuni) connesso al disbrigo delle pratiche relative alla registrazione anagrafica dei richiedenti asilo, </w:t>
      </w:r>
      <w:r w:rsidRPr="00A52DF1">
        <w:rPr>
          <w:rFonts w:ascii="Lato" w:eastAsia="Times New Roman" w:hAnsi="Lato" w:cs="Times New Roman"/>
          <w:color w:val="FF0000"/>
          <w:kern w:val="0"/>
          <w:sz w:val="23"/>
          <w:szCs w:val="23"/>
          <w:lang w:eastAsia="it-IT"/>
          <w14:ligatures w14:val="none"/>
        </w:rPr>
        <w:t>questa considerazione non può giustificare la "sottrazione” di una categoria di soggetti alla "presa d’atto” formale della presenza (qualificata in termini di dimora abituale) di una persona</w:t>
      </w:r>
      <w:r w:rsidRPr="00A52DF1">
        <w:rPr>
          <w:rFonts w:ascii="Lato" w:eastAsia="Times New Roman" w:hAnsi="Lato" w:cs="Times New Roman"/>
          <w:color w:val="000000"/>
          <w:kern w:val="0"/>
          <w:sz w:val="23"/>
          <w:szCs w:val="23"/>
          <w:lang w:eastAsia="it-IT"/>
          <w14:ligatures w14:val="none"/>
        </w:rPr>
        <w:t xml:space="preserve">; "presa d’atto” nella quale si sostanzia l’iscrizione anagrafica. In tal senso, non si può sottacere che i moderni sistemi di anagrafe trovano fondamento proprio in un’esigenza di registrazione amministrativa della popolazione residente. Tale registrazione della situazione effettiva dei residenti nel territorio comunale costituisce il </w:t>
      </w:r>
      <w:r w:rsidRPr="00A52DF1">
        <w:rPr>
          <w:rFonts w:ascii="Lato" w:eastAsia="Times New Roman" w:hAnsi="Lato" w:cs="Times New Roman"/>
          <w:color w:val="FF0000"/>
          <w:kern w:val="0"/>
          <w:sz w:val="23"/>
          <w:szCs w:val="23"/>
          <w:lang w:eastAsia="it-IT"/>
          <w14:ligatures w14:val="none"/>
        </w:rPr>
        <w:t xml:space="preserve">presupposto necessario per l’adeguato esercizio di tutte le funzioni affidate alla pubblica amministrazione, da quelle di sicurezza e ordine </w:t>
      </w:r>
      <w:r w:rsidRPr="00A52DF1">
        <w:rPr>
          <w:rFonts w:ascii="Lato" w:eastAsia="Times New Roman" w:hAnsi="Lato" w:cs="Times New Roman"/>
          <w:color w:val="FF0000"/>
          <w:kern w:val="0"/>
          <w:sz w:val="23"/>
          <w:szCs w:val="23"/>
          <w:lang w:eastAsia="it-IT"/>
          <w14:ligatures w14:val="none"/>
        </w:rPr>
        <w:lastRenderedPageBreak/>
        <w:t>pubblico, appunto, a quelle sanitarie, da quelle di regolazione e controllo degli insediamenti abitativi all’erogazione di servizi pubblici</w:t>
      </w:r>
      <w:r w:rsidRPr="00A52DF1">
        <w:rPr>
          <w:rFonts w:ascii="Lato" w:eastAsia="Times New Roman" w:hAnsi="Lato" w:cs="Times New Roman"/>
          <w:color w:val="000000"/>
          <w:kern w:val="0"/>
          <w:sz w:val="23"/>
          <w:szCs w:val="23"/>
          <w:lang w:eastAsia="it-IT"/>
          <w14:ligatures w14:val="none"/>
        </w:rPr>
        <w:t>, e via dicendo.</w:t>
      </w:r>
    </w:p>
    <w:p w14:paraId="148D6C65"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Escludendo dalla registrazione anagrafica persone che invece risiedono sul territorio comunale, </w:t>
      </w:r>
      <w:r w:rsidRPr="00A52DF1">
        <w:rPr>
          <w:rFonts w:ascii="Lato" w:eastAsia="Times New Roman" w:hAnsi="Lato" w:cs="Times New Roman"/>
          <w:color w:val="FF0000"/>
          <w:kern w:val="0"/>
          <w:sz w:val="23"/>
          <w:szCs w:val="23"/>
          <w:lang w:eastAsia="it-IT"/>
          <w14:ligatures w14:val="none"/>
        </w:rPr>
        <w:t>la norma censurata accresce, anziché ridurre, i problemi connessi al monitoraggio degli stranieri che soggiornano regolarmente nel territorio statale anche per lungo tempo, in attesa della decisione sulla loro richiesta di asilo</w:t>
      </w:r>
      <w:r w:rsidRPr="00A52DF1">
        <w:rPr>
          <w:rFonts w:ascii="Lato" w:eastAsia="Times New Roman" w:hAnsi="Lato" w:cs="Times New Roman"/>
          <w:color w:val="000000"/>
          <w:kern w:val="0"/>
          <w:sz w:val="23"/>
          <w:szCs w:val="23"/>
          <w:lang w:eastAsia="it-IT"/>
          <w14:ligatures w14:val="none"/>
        </w:rPr>
        <w:t>, finendo per questo verso col rendere problematica, anziché semplificare, la loro stessa individuazione a tutti i fini, compresi quelli che attengono alle vicende connesse alla procedura di asilo. Si deve considerare inoltre che il diniego di iscrizione anagrafica sottrae i richiedenti asilo alla diretta conoscibilità da parte dei comuni – con conseguenze tanto più gravi a seguito dell’informatizzazione di dati e procedure – della loro permanenza sul territorio, stante l’obbligo di comunicare il proprio domicilio solo alla questura competente (art. 5, comma 1, d.lgs. n. 142 del 2015).</w:t>
      </w:r>
    </w:p>
    <w:p w14:paraId="1084131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Né può essere fatto valere in senso contrario – come fa l’Avvocatura dello Stato e, ancora prima, il Governo in occasione della conversione in legge del decreto – </w:t>
      </w:r>
      <w:r w:rsidRPr="00A52DF1">
        <w:rPr>
          <w:rFonts w:ascii="Lato" w:eastAsia="Times New Roman" w:hAnsi="Lato" w:cs="Times New Roman"/>
          <w:color w:val="FF0000"/>
          <w:kern w:val="0"/>
          <w:sz w:val="23"/>
          <w:szCs w:val="23"/>
          <w:lang w:eastAsia="it-IT"/>
          <w14:ligatures w14:val="none"/>
        </w:rPr>
        <w:t>l’argomento della precarietà della permanenza legale sul territorio dei richiedenti asilo</w:t>
      </w:r>
      <w:r w:rsidRPr="00A52DF1">
        <w:rPr>
          <w:rFonts w:ascii="Lato" w:eastAsia="Times New Roman" w:hAnsi="Lato" w:cs="Times New Roman"/>
          <w:color w:val="000000"/>
          <w:kern w:val="0"/>
          <w:sz w:val="23"/>
          <w:szCs w:val="23"/>
          <w:lang w:eastAsia="it-IT"/>
          <w14:ligatures w14:val="none"/>
        </w:rPr>
        <w:t xml:space="preserve">, in particolare ove si riferisca tale condizione alla durata della residenza protratta, ossia all’unico aspetto per cui essa rileva a fini della registrazione anagrafica. All’argomento è agevole replicare, infatti, che </w:t>
      </w:r>
      <w:r w:rsidRPr="00A52DF1">
        <w:rPr>
          <w:rFonts w:ascii="Lato" w:eastAsia="Times New Roman" w:hAnsi="Lato" w:cs="Times New Roman"/>
          <w:color w:val="FF0000"/>
          <w:kern w:val="0"/>
          <w:sz w:val="23"/>
          <w:szCs w:val="23"/>
          <w:lang w:eastAsia="it-IT"/>
          <w14:ligatures w14:val="none"/>
        </w:rPr>
        <w:t>il permesso di soggiorno di cui si discute ha durata di sei mesi ed è rinnovabile «fino alla decisione della domanda</w:t>
      </w:r>
      <w:r w:rsidRPr="00A52DF1">
        <w:rPr>
          <w:rFonts w:ascii="Lato" w:eastAsia="Times New Roman" w:hAnsi="Lato" w:cs="Times New Roman"/>
          <w:color w:val="000000"/>
          <w:kern w:val="0"/>
          <w:sz w:val="23"/>
          <w:szCs w:val="23"/>
          <w:lang w:eastAsia="it-IT"/>
          <w14:ligatures w14:val="none"/>
        </w:rPr>
        <w:t xml:space="preserve"> o comunque per il tempo in cui il suo destinatario è autorizzato a rimanere nel territorio nazionale» (art. 4 del d.lgs. n. 142 del 2015), e che, nella stragrande maggioranza dei casi, il periodo complessivo di permanenza dei richiedenti asilo nel nostro Paese risulta essere di </w:t>
      </w:r>
      <w:r w:rsidRPr="00A52DF1">
        <w:rPr>
          <w:rFonts w:ascii="Lato" w:eastAsia="Times New Roman" w:hAnsi="Lato" w:cs="Times New Roman"/>
          <w:color w:val="FF0000"/>
          <w:kern w:val="0"/>
          <w:sz w:val="23"/>
          <w:szCs w:val="23"/>
          <w:lang w:eastAsia="it-IT"/>
          <w14:ligatures w14:val="none"/>
        </w:rPr>
        <w:t>almeno un anno e mezzo</w:t>
      </w:r>
      <w:r w:rsidRPr="00A52DF1">
        <w:rPr>
          <w:rFonts w:ascii="Lato" w:eastAsia="Times New Roman" w:hAnsi="Lato" w:cs="Times New Roman"/>
          <w:color w:val="000000"/>
          <w:kern w:val="0"/>
          <w:sz w:val="23"/>
          <w:szCs w:val="23"/>
          <w:lang w:eastAsia="it-IT"/>
          <w14:ligatures w14:val="none"/>
        </w:rPr>
        <w:t xml:space="preserve"> (come messo in evidenza da tutti i soggetti intervenuti o costituiti nel presente giudizio), soprattutto a causa dei tempi di decisione sulle domande.</w:t>
      </w:r>
    </w:p>
    <w:p w14:paraId="35DC4BBE"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La descritta durata, legale e fattuale, del soggiorno dello straniero richiedente asilo rappresenta, già da sola, un dato espressivo di una permanenza protratta per un arco temporale rilevante e appare inoltre particolarmente significativa alla luce di quanto previsto dall’art. 9 del decreto legislativo 6 febbraio 2007, n. 30 (Attuazione della direttiva 2004/38/CE relativa al diritto dei cittadini dell’Unione e dei loro familiari di circolare e di soggiornare liberamente nel territorio degli Stati membri), che fissa in tre mesi il limite di permanenza del cittadino europeo nello Stato membro diverso da quello di appartenenza, limite oltre il quale sorge l’obbligo dell’iscrizione anagrafica. La citata disposizione stabilisce in particolare che «[a]l cittadino dell’Unione che intende soggiornare in Italia, ai sensi dell’articolo 7 per un periodo superiore a tre mesi, si applica la legge 24 dicembre 1954, n. 1228, ed il nuovo regolamento anagrafico della popolazione residente, approvato con decreto del Presidente della Repubblica 30 maggio 1989, n. 223» (comma 1), e che, «[f]ermo quanto previsto dal comma 1, l’iscrizione è comunque richiesta trascorsi tre mesi dall’ingresso ed è rilasciata immediatamente una attestazione contenente l’indicazione del nome e della dimora del richiedente, nonché la data della richiesta» (comma 2).</w:t>
      </w:r>
    </w:p>
    <w:p w14:paraId="5F52865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Del resto, è lo stesso art. 6, comma 7, del d.lgs. n. 286 del 1998, che costituisce la previsione generale in materia, a individuare nella permanenza protratta per tre mesi presso un centro di </w:t>
      </w:r>
      <w:r w:rsidRPr="00A52DF1">
        <w:rPr>
          <w:rFonts w:ascii="Lato" w:eastAsia="Times New Roman" w:hAnsi="Lato" w:cs="Times New Roman"/>
          <w:color w:val="000000"/>
          <w:kern w:val="0"/>
          <w:sz w:val="23"/>
          <w:szCs w:val="23"/>
          <w:lang w:eastAsia="it-IT"/>
          <w14:ligatures w14:val="none"/>
        </w:rPr>
        <w:lastRenderedPageBreak/>
        <w:t>accoglienza il periodo di tempo necessario per considerare abituale la dimora dello straniero, presupposto, questo, per ottenere il riconoscimento giuridico della residenza.</w:t>
      </w:r>
    </w:p>
    <w:p w14:paraId="7BF7F0DF"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Da ultimo, non è inutile osservare che la necessità di un controllo e di un monitoraggio della residenza sul territorio degli stranieri richiedenti asilo rileva, e presenta anzi particolare importanza, anche a fini sanitari, poiché è sulla base dell’anagrafe dei residenti che il comune può avere contezza delle effettive presenze sul suo territorio ed essere in condizione di esercitare in maniera adeguata le funzioni attribuite al sindaco dall’art. 32 della legge 23 dicembre 1978, n. 833 (Istituzione del servizio sanitario nazionale), soprattutto in caso di emergenze sanitarie circoscritte al territorio comunale.</w:t>
      </w:r>
    </w:p>
    <w:p w14:paraId="71E0893B"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Da tutti i punti di vista considerati, dunque, </w:t>
      </w:r>
      <w:r w:rsidRPr="00A52DF1">
        <w:rPr>
          <w:rFonts w:ascii="Lato" w:eastAsia="Times New Roman" w:hAnsi="Lato" w:cs="Times New Roman"/>
          <w:color w:val="FF0000"/>
          <w:kern w:val="0"/>
          <w:sz w:val="23"/>
          <w:szCs w:val="23"/>
          <w:lang w:eastAsia="it-IT"/>
          <w14:ligatures w14:val="none"/>
        </w:rPr>
        <w:t xml:space="preserve">la norma censurata contraddice le finalità del </w:t>
      </w:r>
      <w:proofErr w:type="spellStart"/>
      <w:r w:rsidRPr="00A52DF1">
        <w:rPr>
          <w:rFonts w:ascii="Lato" w:eastAsia="Times New Roman" w:hAnsi="Lato" w:cs="Times New Roman"/>
          <w:color w:val="FF0000"/>
          <w:kern w:val="0"/>
          <w:sz w:val="23"/>
          <w:szCs w:val="23"/>
          <w:lang w:eastAsia="it-IT"/>
          <w14:ligatures w14:val="none"/>
        </w:rPr>
        <w:t>d.l.</w:t>
      </w:r>
      <w:proofErr w:type="spellEnd"/>
      <w:r w:rsidRPr="00A52DF1">
        <w:rPr>
          <w:rFonts w:ascii="Lato" w:eastAsia="Times New Roman" w:hAnsi="Lato" w:cs="Times New Roman"/>
          <w:color w:val="FF0000"/>
          <w:kern w:val="0"/>
          <w:sz w:val="23"/>
          <w:szCs w:val="23"/>
          <w:lang w:eastAsia="it-IT"/>
          <w14:ligatures w14:val="none"/>
        </w:rPr>
        <w:t xml:space="preserve"> n. 113 del 2018, e in particolare incide negativamente sulla funzionalità delle pubbliche amministrazioni cui è affidata la cura degli interessi oggetto dell’intervento normativo, perché impedisce di basare la loro azione su una rappresentazione veritiera nei registri anagrafici della situazione effettiva della popolazione residente nel loro territorio</w:t>
      </w:r>
      <w:r w:rsidRPr="00A52DF1">
        <w:rPr>
          <w:rFonts w:ascii="Lato" w:eastAsia="Times New Roman" w:hAnsi="Lato" w:cs="Times New Roman"/>
          <w:color w:val="000000"/>
          <w:kern w:val="0"/>
          <w:sz w:val="23"/>
          <w:szCs w:val="23"/>
          <w:lang w:eastAsia="it-IT"/>
          <w14:ligatures w14:val="none"/>
        </w:rPr>
        <w:t>.</w:t>
      </w:r>
    </w:p>
    <w:p w14:paraId="4DFD7DC4"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4.2.– Ugualmente meritevoli di accoglimento sono le censure prospettate per </w:t>
      </w:r>
      <w:r w:rsidRPr="00A52DF1">
        <w:rPr>
          <w:rFonts w:ascii="Lato" w:eastAsia="Times New Roman" w:hAnsi="Lato" w:cs="Times New Roman"/>
          <w:color w:val="FF0000"/>
          <w:kern w:val="0"/>
          <w:sz w:val="23"/>
          <w:szCs w:val="23"/>
          <w:lang w:eastAsia="it-IT"/>
          <w14:ligatures w14:val="none"/>
        </w:rPr>
        <w:t>l’irragionevole disparità di trattamento che la norma censurata determina tra stranieri richiedenti asilo e altre categorie di stranieri legalmente soggiornanti nel territorio statale, oltre che con i cittadini italiani</w:t>
      </w:r>
      <w:r w:rsidRPr="00A52DF1">
        <w:rPr>
          <w:rFonts w:ascii="Lato" w:eastAsia="Times New Roman" w:hAnsi="Lato" w:cs="Times New Roman"/>
          <w:color w:val="000000"/>
          <w:kern w:val="0"/>
          <w:sz w:val="23"/>
          <w:szCs w:val="23"/>
          <w:lang w:eastAsia="it-IT"/>
          <w14:ligatures w14:val="none"/>
        </w:rPr>
        <w:t>.</w:t>
      </w:r>
    </w:p>
    <w:p w14:paraId="10CEA03F"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Questa Corte ha, già da tempo, superato l’apparente ostacolo frapposto dal dato letterale dell’art. 3 Cost. (che fa riferimento ai «cittadini»), sottolineando che, «se è vero che l’art. 3 si riferisce espressamente ai soli cittadini, è anche certo che </w:t>
      </w:r>
      <w:r w:rsidRPr="00A52DF1">
        <w:rPr>
          <w:rFonts w:ascii="Lato" w:eastAsia="Times New Roman" w:hAnsi="Lato" w:cs="Times New Roman"/>
          <w:color w:val="FF0000"/>
          <w:kern w:val="0"/>
          <w:sz w:val="23"/>
          <w:szCs w:val="23"/>
          <w:lang w:eastAsia="it-IT"/>
          <w14:ligatures w14:val="none"/>
        </w:rPr>
        <w:t>il principio di eguaglianza vale pure per lo straniero quando trattisi di rispettare [i] diritti fondamentali</w:t>
      </w:r>
      <w:r w:rsidRPr="00A52DF1">
        <w:rPr>
          <w:rFonts w:ascii="Lato" w:eastAsia="Times New Roman" w:hAnsi="Lato" w:cs="Times New Roman"/>
          <w:color w:val="000000"/>
          <w:kern w:val="0"/>
          <w:sz w:val="23"/>
          <w:szCs w:val="23"/>
          <w:lang w:eastAsia="it-IT"/>
          <w14:ligatures w14:val="none"/>
        </w:rPr>
        <w:t>» (</w:t>
      </w:r>
      <w:hyperlink r:id="rId7" w:history="1">
        <w:r w:rsidRPr="00A52DF1">
          <w:rPr>
            <w:rFonts w:ascii="Lato" w:eastAsia="Times New Roman" w:hAnsi="Lato" w:cs="Times New Roman"/>
            <w:color w:val="0E10A1"/>
            <w:kern w:val="0"/>
            <w:sz w:val="23"/>
            <w:szCs w:val="23"/>
            <w:u w:val="single"/>
            <w:shd w:val="clear" w:color="auto" w:fill="FBFB68"/>
            <w:lang w:eastAsia="it-IT"/>
            <w14:ligatures w14:val="none"/>
          </w:rPr>
          <w:t>sentenza n. 120 del 1967</w:t>
        </w:r>
      </w:hyperlink>
      <w:r w:rsidRPr="00A52DF1">
        <w:rPr>
          <w:rFonts w:ascii="Lato" w:eastAsia="Times New Roman" w:hAnsi="Lato" w:cs="Times New Roman"/>
          <w:color w:val="000000"/>
          <w:kern w:val="0"/>
          <w:sz w:val="23"/>
          <w:szCs w:val="23"/>
          <w:lang w:eastAsia="it-IT"/>
          <w14:ligatures w14:val="none"/>
        </w:rPr>
        <w:t>), e ha chiarito inoltre che al legislatore non è consentito introdurre regimi differenziati circa il trattamento da riservare ai singoli consociati se non «in presenza di una "causa” normativa non palesemente irrazionale o, peggio, arbitraria» (</w:t>
      </w:r>
      <w:hyperlink r:id="rId8" w:history="1">
        <w:r w:rsidRPr="00A52DF1">
          <w:rPr>
            <w:rFonts w:ascii="Lato" w:eastAsia="Times New Roman" w:hAnsi="Lato" w:cs="Times New Roman"/>
            <w:color w:val="0E10A1"/>
            <w:kern w:val="0"/>
            <w:sz w:val="23"/>
            <w:szCs w:val="23"/>
            <w:u w:val="single"/>
            <w:shd w:val="clear" w:color="auto" w:fill="FBFB68"/>
            <w:lang w:eastAsia="it-IT"/>
            <w14:ligatures w14:val="none"/>
          </w:rPr>
          <w:t>sentenza n. 432 del 2005</w:t>
        </w:r>
      </w:hyperlink>
      <w:r w:rsidRPr="00A52DF1">
        <w:rPr>
          <w:rFonts w:ascii="Lato" w:eastAsia="Times New Roman" w:hAnsi="Lato" w:cs="Times New Roman"/>
          <w:color w:val="000000"/>
          <w:kern w:val="0"/>
          <w:sz w:val="23"/>
          <w:szCs w:val="23"/>
          <w:lang w:eastAsia="it-IT"/>
          <w14:ligatures w14:val="none"/>
        </w:rPr>
        <w:t>).</w:t>
      </w:r>
    </w:p>
    <w:p w14:paraId="61E654C5"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Nelle singole situazioni concrete, la posizione dello straniero può certo risultare diversa rispetto a quella del cittadino (sempre </w:t>
      </w:r>
      <w:hyperlink r:id="rId9" w:history="1">
        <w:r w:rsidRPr="00A52DF1">
          <w:rPr>
            <w:rFonts w:ascii="Lato" w:eastAsia="Times New Roman" w:hAnsi="Lato" w:cs="Times New Roman"/>
            <w:color w:val="0E10A1"/>
            <w:kern w:val="0"/>
            <w:sz w:val="23"/>
            <w:szCs w:val="23"/>
            <w:u w:val="single"/>
            <w:shd w:val="clear" w:color="auto" w:fill="FBFB68"/>
            <w:lang w:eastAsia="it-IT"/>
            <w14:ligatures w14:val="none"/>
          </w:rPr>
          <w:t>sentenza n. 120 del 1967</w:t>
        </w:r>
      </w:hyperlink>
      <w:r w:rsidRPr="00A52DF1">
        <w:rPr>
          <w:rFonts w:ascii="Lato" w:eastAsia="Times New Roman" w:hAnsi="Lato" w:cs="Times New Roman"/>
          <w:color w:val="000000"/>
          <w:kern w:val="0"/>
          <w:sz w:val="23"/>
          <w:szCs w:val="23"/>
          <w:lang w:eastAsia="it-IT"/>
          <w14:ligatures w14:val="none"/>
        </w:rPr>
        <w:t>) e quindi non si può per ciò solo escludere la ragionevolezza della disposizione che ne prevede un trattamento diversificato. Infatti, «la riconosciuta eguaglianza di situazioni soggettive nel campo della titolarità dei diritti di libertà non esclude affatto che, nelle situazioni concrete, non possano presentarsi, fra soggetti uguali, differenze di fatto che il legislatore può apprezzare e regolare nella sua discrezionalità, la quale non trova altro limite se non nella razionalità del suo apprezzamento» (</w:t>
      </w:r>
      <w:hyperlink r:id="rId10" w:history="1">
        <w:r w:rsidRPr="00A52DF1">
          <w:rPr>
            <w:rFonts w:ascii="Lato" w:eastAsia="Times New Roman" w:hAnsi="Lato" w:cs="Times New Roman"/>
            <w:color w:val="0E10A1"/>
            <w:kern w:val="0"/>
            <w:sz w:val="23"/>
            <w:szCs w:val="23"/>
            <w:u w:val="single"/>
            <w:shd w:val="clear" w:color="auto" w:fill="FBFB68"/>
            <w:lang w:eastAsia="it-IT"/>
            <w14:ligatures w14:val="none"/>
          </w:rPr>
          <w:t>sentenza n. 104 del 1969</w:t>
        </w:r>
      </w:hyperlink>
      <w:r w:rsidRPr="00A52DF1">
        <w:rPr>
          <w:rFonts w:ascii="Lato" w:eastAsia="Times New Roman" w:hAnsi="Lato" w:cs="Times New Roman"/>
          <w:color w:val="000000"/>
          <w:kern w:val="0"/>
          <w:sz w:val="23"/>
          <w:szCs w:val="23"/>
          <w:lang w:eastAsia="it-IT"/>
          <w14:ligatures w14:val="none"/>
        </w:rPr>
        <w:t>, richiamata dalle pronunce successive, </w:t>
      </w:r>
      <w:hyperlink r:id="rId11" w:history="1">
        <w:r w:rsidRPr="00A52DF1">
          <w:rPr>
            <w:rFonts w:ascii="Lato" w:eastAsia="Times New Roman" w:hAnsi="Lato" w:cs="Times New Roman"/>
            <w:color w:val="0E10A1"/>
            <w:kern w:val="0"/>
            <w:sz w:val="23"/>
            <w:szCs w:val="23"/>
            <w:u w:val="single"/>
            <w:shd w:val="clear" w:color="auto" w:fill="FBFB68"/>
            <w:lang w:eastAsia="it-IT"/>
            <w14:ligatures w14:val="none"/>
          </w:rPr>
          <w:t>sentenze n. 144 del 1970</w:t>
        </w:r>
      </w:hyperlink>
      <w:r w:rsidRPr="00A52DF1">
        <w:rPr>
          <w:rFonts w:ascii="Lato" w:eastAsia="Times New Roman" w:hAnsi="Lato" w:cs="Times New Roman"/>
          <w:color w:val="000000"/>
          <w:kern w:val="0"/>
          <w:sz w:val="23"/>
          <w:szCs w:val="23"/>
          <w:lang w:eastAsia="it-IT"/>
          <w14:ligatures w14:val="none"/>
        </w:rPr>
        <w:t>, </w:t>
      </w:r>
      <w:hyperlink r:id="rId12" w:history="1">
        <w:r w:rsidRPr="00A52DF1">
          <w:rPr>
            <w:rFonts w:ascii="Lato" w:eastAsia="Times New Roman" w:hAnsi="Lato" w:cs="Times New Roman"/>
            <w:color w:val="0E10A1"/>
            <w:kern w:val="0"/>
            <w:sz w:val="23"/>
            <w:szCs w:val="23"/>
            <w:u w:val="single"/>
            <w:shd w:val="clear" w:color="auto" w:fill="FBFB68"/>
            <w:lang w:eastAsia="it-IT"/>
            <w14:ligatures w14:val="none"/>
          </w:rPr>
          <w:t>n. 177</w:t>
        </w:r>
      </w:hyperlink>
      <w:r w:rsidRPr="00A52DF1">
        <w:rPr>
          <w:rFonts w:ascii="Lato" w:eastAsia="Times New Roman" w:hAnsi="Lato" w:cs="Times New Roman"/>
          <w:color w:val="000000"/>
          <w:kern w:val="0"/>
          <w:sz w:val="23"/>
          <w:szCs w:val="23"/>
          <w:lang w:eastAsia="it-IT"/>
          <w14:ligatures w14:val="none"/>
        </w:rPr>
        <w:t> e </w:t>
      </w:r>
      <w:hyperlink r:id="rId13" w:history="1">
        <w:r w:rsidRPr="00A52DF1">
          <w:rPr>
            <w:rFonts w:ascii="Lato" w:eastAsia="Times New Roman" w:hAnsi="Lato" w:cs="Times New Roman"/>
            <w:color w:val="0E10A1"/>
            <w:kern w:val="0"/>
            <w:sz w:val="23"/>
            <w:szCs w:val="23"/>
            <w:u w:val="single"/>
            <w:shd w:val="clear" w:color="auto" w:fill="FBFB68"/>
            <w:lang w:eastAsia="it-IT"/>
            <w14:ligatures w14:val="none"/>
          </w:rPr>
          <w:t>n. 244 del 1974</w:t>
        </w:r>
      </w:hyperlink>
      <w:r w:rsidRPr="00A52DF1">
        <w:rPr>
          <w:rFonts w:ascii="Lato" w:eastAsia="Times New Roman" w:hAnsi="Lato" w:cs="Times New Roman"/>
          <w:color w:val="000000"/>
          <w:kern w:val="0"/>
          <w:sz w:val="23"/>
          <w:szCs w:val="23"/>
          <w:lang w:eastAsia="it-IT"/>
          <w14:ligatures w14:val="none"/>
        </w:rPr>
        <w:t>, </w:t>
      </w:r>
      <w:hyperlink r:id="rId14" w:history="1">
        <w:r w:rsidRPr="00A52DF1">
          <w:rPr>
            <w:rFonts w:ascii="Lato" w:eastAsia="Times New Roman" w:hAnsi="Lato" w:cs="Times New Roman"/>
            <w:color w:val="0E10A1"/>
            <w:kern w:val="0"/>
            <w:sz w:val="23"/>
            <w:szCs w:val="23"/>
            <w:u w:val="single"/>
            <w:shd w:val="clear" w:color="auto" w:fill="FBFB68"/>
            <w:lang w:eastAsia="it-IT"/>
            <w14:ligatures w14:val="none"/>
          </w:rPr>
          <w:t>n. 62 del 1994</w:t>
        </w:r>
      </w:hyperlink>
      <w:r w:rsidRPr="00A52DF1">
        <w:rPr>
          <w:rFonts w:ascii="Lato" w:eastAsia="Times New Roman" w:hAnsi="Lato" w:cs="Times New Roman"/>
          <w:color w:val="000000"/>
          <w:kern w:val="0"/>
          <w:sz w:val="23"/>
          <w:szCs w:val="23"/>
          <w:lang w:eastAsia="it-IT"/>
          <w14:ligatures w14:val="none"/>
        </w:rPr>
        <w:t>, </w:t>
      </w:r>
      <w:hyperlink r:id="rId15" w:history="1">
        <w:r w:rsidRPr="00A52DF1">
          <w:rPr>
            <w:rFonts w:ascii="Lato" w:eastAsia="Times New Roman" w:hAnsi="Lato" w:cs="Times New Roman"/>
            <w:color w:val="0E10A1"/>
            <w:kern w:val="0"/>
            <w:sz w:val="23"/>
            <w:szCs w:val="23"/>
            <w:u w:val="single"/>
            <w:shd w:val="clear" w:color="auto" w:fill="FBFB68"/>
            <w:lang w:eastAsia="it-IT"/>
            <w14:ligatures w14:val="none"/>
          </w:rPr>
          <w:t>n. 245 del 2011</w:t>
        </w:r>
      </w:hyperlink>
      <w:r w:rsidRPr="00A52DF1">
        <w:rPr>
          <w:rFonts w:ascii="Lato" w:eastAsia="Times New Roman" w:hAnsi="Lato" w:cs="Times New Roman"/>
          <w:color w:val="000000"/>
          <w:kern w:val="0"/>
          <w:sz w:val="23"/>
          <w:szCs w:val="23"/>
          <w:lang w:eastAsia="it-IT"/>
          <w14:ligatures w14:val="none"/>
        </w:rPr>
        <w:t>, e </w:t>
      </w:r>
      <w:hyperlink r:id="rId16" w:history="1">
        <w:r w:rsidRPr="00A52DF1">
          <w:rPr>
            <w:rFonts w:ascii="Lato" w:eastAsia="Times New Roman" w:hAnsi="Lato" w:cs="Times New Roman"/>
            <w:color w:val="0E10A1"/>
            <w:kern w:val="0"/>
            <w:sz w:val="23"/>
            <w:szCs w:val="23"/>
            <w:u w:val="single"/>
            <w:shd w:val="clear" w:color="auto" w:fill="FBFB68"/>
            <w:lang w:eastAsia="it-IT"/>
            <w14:ligatures w14:val="none"/>
          </w:rPr>
          <w:t>ordinanze n. 503 del 1987</w:t>
        </w:r>
      </w:hyperlink>
      <w:r w:rsidRPr="00A52DF1">
        <w:rPr>
          <w:rFonts w:ascii="Lato" w:eastAsia="Times New Roman" w:hAnsi="Lato" w:cs="Times New Roman"/>
          <w:color w:val="000000"/>
          <w:kern w:val="0"/>
          <w:sz w:val="23"/>
          <w:szCs w:val="23"/>
          <w:lang w:eastAsia="it-IT"/>
          <w14:ligatures w14:val="none"/>
        </w:rPr>
        <w:t>, </w:t>
      </w:r>
      <w:hyperlink r:id="rId17" w:history="1">
        <w:r w:rsidRPr="00A52DF1">
          <w:rPr>
            <w:rFonts w:ascii="Lato" w:eastAsia="Times New Roman" w:hAnsi="Lato" w:cs="Times New Roman"/>
            <w:color w:val="0E10A1"/>
            <w:kern w:val="0"/>
            <w:sz w:val="23"/>
            <w:szCs w:val="23"/>
            <w:u w:val="single"/>
            <w:shd w:val="clear" w:color="auto" w:fill="FBFB68"/>
            <w:lang w:eastAsia="it-IT"/>
            <w14:ligatures w14:val="none"/>
          </w:rPr>
          <w:t>n. 490 del 1988</w:t>
        </w:r>
      </w:hyperlink>
      <w:r w:rsidRPr="00A52DF1">
        <w:rPr>
          <w:rFonts w:ascii="Lato" w:eastAsia="Times New Roman" w:hAnsi="Lato" w:cs="Times New Roman"/>
          <w:color w:val="000000"/>
          <w:kern w:val="0"/>
          <w:sz w:val="23"/>
          <w:szCs w:val="23"/>
          <w:lang w:eastAsia="it-IT"/>
          <w14:ligatures w14:val="none"/>
        </w:rPr>
        <w:t>).</w:t>
      </w:r>
    </w:p>
    <w:p w14:paraId="5C4EF92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Sulla base di questi argomenti si può così affermare che la particolarità delle «situazioni concrete» può giustificare un diverso trattamento tra differenti categorie di stranieri legalmente soggiornanti, in ragione del motivo e della durata del loro soggiorno, come è, per esempio, nel caso della normativa che limita ai cosiddetti soggiornanti di lungo periodo il riconoscimento di determinati diritti, e come, in principio, potrebbe essere per i richiedenti asilo, in ragione del fatto che la loro permanenza – pur, come visto, di durata non breve e non di rado anche alquanto lunga </w:t>
      </w:r>
      <w:r w:rsidRPr="00A52DF1">
        <w:rPr>
          <w:rFonts w:ascii="Lato" w:eastAsia="Times New Roman" w:hAnsi="Lato" w:cs="Times New Roman"/>
          <w:color w:val="000000"/>
          <w:kern w:val="0"/>
          <w:sz w:val="23"/>
          <w:szCs w:val="23"/>
          <w:lang w:eastAsia="it-IT"/>
          <w14:ligatures w14:val="none"/>
        </w:rPr>
        <w:lastRenderedPageBreak/>
        <w:t>– è comunque destinata a mutare di titolo nel caso di concessione della protezione internazionale o, diversamente, a cessare.</w:t>
      </w:r>
    </w:p>
    <w:p w14:paraId="5CB878F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FF0000"/>
          <w:kern w:val="0"/>
          <w:sz w:val="23"/>
          <w:szCs w:val="23"/>
          <w:lang w:eastAsia="it-IT"/>
          <w14:ligatures w14:val="none"/>
        </w:rPr>
        <w:t>Negando l’iscrizione anagrafica a coloro che hanno la dimora abituale nel territorio italiano, tuttavia, la norma censurata riserva un trattamento differenziato e indubbiamente peggiorativo a una particolare categoria di stranieri in assenza di una ragionevole giustificazione: se infatti la registrazione anagrafica è semplicemente la conseguenza del fatto oggettivo della legittima dimora abituale in un determinato luogo, la circostanza che si tratti di un cittadino o di uno straniero, o di uno straniero richiedente asilo, comunque regolarmente insediato, non può presentare alcun rilievo ai suoi fini</w:t>
      </w:r>
      <w:r w:rsidRPr="00A52DF1">
        <w:rPr>
          <w:rFonts w:ascii="Lato" w:eastAsia="Times New Roman" w:hAnsi="Lato" w:cs="Times New Roman"/>
          <w:color w:val="000000"/>
          <w:kern w:val="0"/>
          <w:sz w:val="23"/>
          <w:szCs w:val="23"/>
          <w:lang w:eastAsia="it-IT"/>
          <w14:ligatures w14:val="none"/>
        </w:rPr>
        <w:t>.</w:t>
      </w:r>
    </w:p>
    <w:p w14:paraId="2C04D5D3"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Come già ricordato, la regola generale in tema di iscrizioni anagrafiche dello straniero regolarmente soggiornante è contenuta nell’art. 6, comma 7, del d.lgs. n. 286 del 1998 («Le iscrizioni e variazioni anagrafiche dello straniero regolarmente soggiornante sono effettuate alle medesime condizioni dei cittadini italiani con le modalità previste dal regolamento di attuazione»), al quale la norma censurata deroga senza alcun ragionevole motivo. Questa Corte ha già chiarito che qualsiasi scelta legislativa che si discosti dalle norme generali del d.lgs. n. 286 del 1998 «dovrebbe permettere di rinvenire nella stessa struttura normativa una specifica, trasparente e razionale "causa giustificatrice”, idonea a "spiegare”, sul piano costituzionale, le "ragioni” poste a base della deroga» (</w:t>
      </w:r>
      <w:hyperlink r:id="rId18" w:history="1">
        <w:r w:rsidRPr="00A52DF1">
          <w:rPr>
            <w:rFonts w:ascii="Lato" w:eastAsia="Times New Roman" w:hAnsi="Lato" w:cs="Times New Roman"/>
            <w:color w:val="0E10A1"/>
            <w:kern w:val="0"/>
            <w:sz w:val="23"/>
            <w:szCs w:val="23"/>
            <w:u w:val="single"/>
            <w:shd w:val="clear" w:color="auto" w:fill="FBFB68"/>
            <w:lang w:eastAsia="it-IT"/>
            <w14:ligatures w14:val="none"/>
          </w:rPr>
          <w:t>sentenza n. 432 del 2005</w:t>
        </w:r>
      </w:hyperlink>
      <w:r w:rsidRPr="00A52DF1">
        <w:rPr>
          <w:rFonts w:ascii="Lato" w:eastAsia="Times New Roman" w:hAnsi="Lato" w:cs="Times New Roman"/>
          <w:color w:val="000000"/>
          <w:kern w:val="0"/>
          <w:sz w:val="23"/>
          <w:szCs w:val="23"/>
          <w:lang w:eastAsia="it-IT"/>
          <w14:ligatures w14:val="none"/>
        </w:rPr>
        <w:t xml:space="preserve">): il che non si può dire della norma censurata. Infatti, </w:t>
      </w:r>
      <w:r w:rsidRPr="00A52DF1">
        <w:rPr>
          <w:rFonts w:ascii="Lato" w:eastAsia="Times New Roman" w:hAnsi="Lato" w:cs="Times New Roman"/>
          <w:color w:val="FF0000"/>
          <w:kern w:val="0"/>
          <w:sz w:val="23"/>
          <w:szCs w:val="23"/>
          <w:lang w:eastAsia="it-IT"/>
          <w14:ligatures w14:val="none"/>
        </w:rPr>
        <w:t>la temporaneità del soggiorno dei richiedenti asilo non può giustificare il diniego di iscrizione anagrafica, sia per le ragioni esposte nel punto precedente, sia perché, se la stessa temporaneità fosse incompatibile con l’iscrizione anagrafica, allora bisognerebbe escludere dalla registrazione molti altri stranieri regolari, titolari di permessi di durata limitata, che potrebbero non essere rinnovati</w:t>
      </w:r>
      <w:r w:rsidRPr="00A52DF1">
        <w:rPr>
          <w:rFonts w:ascii="Lato" w:eastAsia="Times New Roman" w:hAnsi="Lato" w:cs="Times New Roman"/>
          <w:color w:val="000000"/>
          <w:kern w:val="0"/>
          <w:sz w:val="23"/>
          <w:szCs w:val="23"/>
          <w:lang w:eastAsia="it-IT"/>
          <w14:ligatures w14:val="none"/>
        </w:rPr>
        <w:t xml:space="preserve"> (quali, ad esempio, quelli previsti all’art. 5, comma 3-bis, del d.lgs. n. 286 del 1998).</w:t>
      </w:r>
    </w:p>
    <w:p w14:paraId="508BC76F"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FF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Considerazioni analoghe possono essere svolte anche con riferimento alla </w:t>
      </w:r>
      <w:r w:rsidRPr="00A52DF1">
        <w:rPr>
          <w:rFonts w:ascii="Lato" w:eastAsia="Times New Roman" w:hAnsi="Lato" w:cs="Times New Roman"/>
          <w:color w:val="FF0000"/>
          <w:kern w:val="0"/>
          <w:sz w:val="23"/>
          <w:szCs w:val="23"/>
          <w:lang w:eastAsia="it-IT"/>
          <w14:ligatures w14:val="none"/>
        </w:rPr>
        <w:t>deroga irragionevolmente operata dalla norma censurata rispetto a quanto previsto in via generale dall’art. 2, comma 2, dello stesso decreto legislativo, in base al quale «[lo straniero regolarmente soggiornante nel territorio dello Stato gode dei diritti in materia civile attribuiti al cittadino italiano […]». Essa priva, infatti, i richiedenti asilo del diritto a iscriversi all’anagrafe dei residenti, senza una causa giustificatrice idonea.</w:t>
      </w:r>
    </w:p>
    <w:p w14:paraId="1D6EC79E"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Per la portata e per le </w:t>
      </w:r>
      <w:r w:rsidRPr="00A52DF1">
        <w:rPr>
          <w:rFonts w:ascii="Lato" w:eastAsia="Times New Roman" w:hAnsi="Lato" w:cs="Times New Roman"/>
          <w:color w:val="FF0000"/>
          <w:kern w:val="0"/>
          <w:sz w:val="23"/>
          <w:szCs w:val="23"/>
          <w:lang w:eastAsia="it-IT"/>
          <w14:ligatures w14:val="none"/>
        </w:rPr>
        <w:t>conseguenze anche in termini di stigma sociale dell’esclusione operata con la norma oggetto del presente giudizio, di cui è non solo simbolica espressione l’impossibilità di ottenere la carta d’identità, la prospettata lesione dell’art. 3, primo comma, Cost. assume in questo contesto – al di là della stessa violazione del principio di eguaglianza – la specifica valenza di lesione della connessa «</w:t>
      </w:r>
      <w:r w:rsidRPr="00A52DF1">
        <w:rPr>
          <w:rFonts w:ascii="Lato" w:eastAsia="Times New Roman" w:hAnsi="Lato" w:cs="Times New Roman"/>
          <w:b/>
          <w:bCs/>
          <w:color w:val="FF0000"/>
          <w:kern w:val="0"/>
          <w:sz w:val="23"/>
          <w:szCs w:val="23"/>
          <w:lang w:eastAsia="it-IT"/>
          <w14:ligatures w14:val="none"/>
        </w:rPr>
        <w:t>pari dignità sociale</w:t>
      </w:r>
      <w:r w:rsidRPr="00A52DF1">
        <w:rPr>
          <w:rFonts w:ascii="Lato" w:eastAsia="Times New Roman" w:hAnsi="Lato" w:cs="Times New Roman"/>
          <w:color w:val="000000"/>
          <w:kern w:val="0"/>
          <w:sz w:val="23"/>
          <w:szCs w:val="23"/>
          <w:lang w:eastAsia="it-IT"/>
          <w14:ligatures w14:val="none"/>
        </w:rPr>
        <w:t>».</w:t>
      </w:r>
    </w:p>
    <w:p w14:paraId="3DECA727"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Pur potendo il legislatore valorizzare le esistenti differenze di fatto tra cittadini e stranieri (</w:t>
      </w:r>
      <w:hyperlink r:id="rId19" w:history="1">
        <w:r w:rsidRPr="00A52DF1">
          <w:rPr>
            <w:rFonts w:ascii="Lato" w:eastAsia="Times New Roman" w:hAnsi="Lato" w:cs="Times New Roman"/>
            <w:color w:val="0E10A1"/>
            <w:kern w:val="0"/>
            <w:sz w:val="23"/>
            <w:szCs w:val="23"/>
            <w:u w:val="single"/>
            <w:shd w:val="clear" w:color="auto" w:fill="FBFB68"/>
            <w:lang w:eastAsia="it-IT"/>
            <w14:ligatures w14:val="none"/>
          </w:rPr>
          <w:t>sentenza n. 104 del 1969</w:t>
        </w:r>
      </w:hyperlink>
      <w:r w:rsidRPr="00A52DF1">
        <w:rPr>
          <w:rFonts w:ascii="Lato" w:eastAsia="Times New Roman" w:hAnsi="Lato" w:cs="Times New Roman"/>
          <w:color w:val="000000"/>
          <w:kern w:val="0"/>
          <w:sz w:val="23"/>
          <w:szCs w:val="23"/>
          <w:lang w:eastAsia="it-IT"/>
          <w14:ligatures w14:val="none"/>
        </w:rPr>
        <w:t>), esso non può porre gli stranieri (o, come nel caso di specie, una certa categoria di stranieri) in una condizione di "minorazione” sociale senza idonea giustificazione, e ciò per la decisiva ragione che lo status di straniero non può essere di per sé considerato «come causa ammissibile di trattamenti diversificati e peggiorativi» (in questi termini </w:t>
      </w:r>
      <w:hyperlink r:id="rId20" w:history="1">
        <w:r w:rsidRPr="00A52DF1">
          <w:rPr>
            <w:rFonts w:ascii="Lato" w:eastAsia="Times New Roman" w:hAnsi="Lato" w:cs="Times New Roman"/>
            <w:color w:val="0E10A1"/>
            <w:kern w:val="0"/>
            <w:sz w:val="23"/>
            <w:szCs w:val="23"/>
            <w:u w:val="single"/>
            <w:shd w:val="clear" w:color="auto" w:fill="FBFB68"/>
            <w:lang w:eastAsia="it-IT"/>
            <w14:ligatures w14:val="none"/>
          </w:rPr>
          <w:t>sentenza n. 249 del 2010</w:t>
        </w:r>
      </w:hyperlink>
      <w:r w:rsidRPr="00A52DF1">
        <w:rPr>
          <w:rFonts w:ascii="Lato" w:eastAsia="Times New Roman" w:hAnsi="Lato" w:cs="Times New Roman"/>
          <w:color w:val="000000"/>
          <w:kern w:val="0"/>
          <w:sz w:val="23"/>
          <w:szCs w:val="23"/>
          <w:lang w:eastAsia="it-IT"/>
          <w14:ligatures w14:val="none"/>
        </w:rPr>
        <w:t>; analogamente, tra le tante, </w:t>
      </w:r>
      <w:hyperlink r:id="rId21" w:history="1">
        <w:r w:rsidRPr="00A52DF1">
          <w:rPr>
            <w:rFonts w:ascii="Lato" w:eastAsia="Times New Roman" w:hAnsi="Lato" w:cs="Times New Roman"/>
            <w:color w:val="0E10A1"/>
            <w:kern w:val="0"/>
            <w:sz w:val="23"/>
            <w:szCs w:val="23"/>
            <w:u w:val="single"/>
            <w:shd w:val="clear" w:color="auto" w:fill="FBFB68"/>
            <w:lang w:eastAsia="it-IT"/>
            <w14:ligatures w14:val="none"/>
          </w:rPr>
          <w:t>sentenze n. 166 del 2018</w:t>
        </w:r>
      </w:hyperlink>
      <w:r w:rsidRPr="00A52DF1">
        <w:rPr>
          <w:rFonts w:ascii="Lato" w:eastAsia="Times New Roman" w:hAnsi="Lato" w:cs="Times New Roman"/>
          <w:color w:val="000000"/>
          <w:kern w:val="0"/>
          <w:sz w:val="23"/>
          <w:szCs w:val="23"/>
          <w:lang w:eastAsia="it-IT"/>
          <w14:ligatures w14:val="none"/>
        </w:rPr>
        <w:t>, </w:t>
      </w:r>
      <w:hyperlink r:id="rId22" w:history="1">
        <w:r w:rsidRPr="00A52DF1">
          <w:rPr>
            <w:rFonts w:ascii="Lato" w:eastAsia="Times New Roman" w:hAnsi="Lato" w:cs="Times New Roman"/>
            <w:color w:val="0E10A1"/>
            <w:kern w:val="0"/>
            <w:sz w:val="23"/>
            <w:szCs w:val="23"/>
            <w:u w:val="single"/>
            <w:shd w:val="clear" w:color="auto" w:fill="FBFB68"/>
            <w:lang w:eastAsia="it-IT"/>
            <w14:ligatures w14:val="none"/>
          </w:rPr>
          <w:t>n. 230</w:t>
        </w:r>
      </w:hyperlink>
      <w:r w:rsidRPr="00A52DF1">
        <w:rPr>
          <w:rFonts w:ascii="Lato" w:eastAsia="Times New Roman" w:hAnsi="Lato" w:cs="Times New Roman"/>
          <w:color w:val="000000"/>
          <w:kern w:val="0"/>
          <w:sz w:val="23"/>
          <w:szCs w:val="23"/>
          <w:lang w:eastAsia="it-IT"/>
          <w14:ligatures w14:val="none"/>
        </w:rPr>
        <w:t>, </w:t>
      </w:r>
      <w:hyperlink r:id="rId23" w:history="1">
        <w:r w:rsidRPr="00A52DF1">
          <w:rPr>
            <w:rFonts w:ascii="Lato" w:eastAsia="Times New Roman" w:hAnsi="Lato" w:cs="Times New Roman"/>
            <w:color w:val="0E10A1"/>
            <w:kern w:val="0"/>
            <w:sz w:val="23"/>
            <w:szCs w:val="23"/>
            <w:u w:val="single"/>
            <w:shd w:val="clear" w:color="auto" w:fill="FBFB68"/>
            <w:lang w:eastAsia="it-IT"/>
            <w14:ligatures w14:val="none"/>
          </w:rPr>
          <w:t>n. 119</w:t>
        </w:r>
      </w:hyperlink>
      <w:r w:rsidRPr="00A52DF1">
        <w:rPr>
          <w:rFonts w:ascii="Lato" w:eastAsia="Times New Roman" w:hAnsi="Lato" w:cs="Times New Roman"/>
          <w:color w:val="000000"/>
          <w:kern w:val="0"/>
          <w:sz w:val="23"/>
          <w:szCs w:val="23"/>
          <w:lang w:eastAsia="it-IT"/>
          <w14:ligatures w14:val="none"/>
        </w:rPr>
        <w:t> e </w:t>
      </w:r>
      <w:hyperlink r:id="rId24" w:history="1">
        <w:r w:rsidRPr="00A52DF1">
          <w:rPr>
            <w:rFonts w:ascii="Lato" w:eastAsia="Times New Roman" w:hAnsi="Lato" w:cs="Times New Roman"/>
            <w:color w:val="0E10A1"/>
            <w:kern w:val="0"/>
            <w:sz w:val="23"/>
            <w:szCs w:val="23"/>
            <w:u w:val="single"/>
            <w:shd w:val="clear" w:color="auto" w:fill="FBFB68"/>
            <w:lang w:eastAsia="it-IT"/>
            <w14:ligatures w14:val="none"/>
          </w:rPr>
          <w:t>n. 22 del 2015</w:t>
        </w:r>
      </w:hyperlink>
      <w:r w:rsidRPr="00A52DF1">
        <w:rPr>
          <w:rFonts w:ascii="Lato" w:eastAsia="Times New Roman" w:hAnsi="Lato" w:cs="Times New Roman"/>
          <w:color w:val="000000"/>
          <w:kern w:val="0"/>
          <w:sz w:val="23"/>
          <w:szCs w:val="23"/>
          <w:lang w:eastAsia="it-IT"/>
          <w14:ligatures w14:val="none"/>
        </w:rPr>
        <w:t>, </w:t>
      </w:r>
      <w:hyperlink r:id="rId25" w:history="1">
        <w:r w:rsidRPr="00A52DF1">
          <w:rPr>
            <w:rFonts w:ascii="Lato" w:eastAsia="Times New Roman" w:hAnsi="Lato" w:cs="Times New Roman"/>
            <w:color w:val="0E10A1"/>
            <w:kern w:val="0"/>
            <w:sz w:val="23"/>
            <w:szCs w:val="23"/>
            <w:u w:val="single"/>
            <w:shd w:val="clear" w:color="auto" w:fill="FBFB68"/>
            <w:lang w:eastAsia="it-IT"/>
            <w14:ligatures w14:val="none"/>
          </w:rPr>
          <w:t xml:space="preserve">n. </w:t>
        </w:r>
        <w:r w:rsidRPr="00A52DF1">
          <w:rPr>
            <w:rFonts w:ascii="Lato" w:eastAsia="Times New Roman" w:hAnsi="Lato" w:cs="Times New Roman"/>
            <w:color w:val="0E10A1"/>
            <w:kern w:val="0"/>
            <w:sz w:val="23"/>
            <w:szCs w:val="23"/>
            <w:u w:val="single"/>
            <w:shd w:val="clear" w:color="auto" w:fill="FBFB68"/>
            <w:lang w:eastAsia="it-IT"/>
            <w14:ligatures w14:val="none"/>
          </w:rPr>
          <w:lastRenderedPageBreak/>
          <w:t>309</w:t>
        </w:r>
      </w:hyperlink>
      <w:r w:rsidRPr="00A52DF1">
        <w:rPr>
          <w:rFonts w:ascii="Lato" w:eastAsia="Times New Roman" w:hAnsi="Lato" w:cs="Times New Roman"/>
          <w:color w:val="000000"/>
          <w:kern w:val="0"/>
          <w:sz w:val="23"/>
          <w:szCs w:val="23"/>
          <w:lang w:eastAsia="it-IT"/>
          <w14:ligatures w14:val="none"/>
        </w:rPr>
        <w:t>, </w:t>
      </w:r>
      <w:hyperlink r:id="rId26" w:history="1">
        <w:r w:rsidRPr="00A52DF1">
          <w:rPr>
            <w:rFonts w:ascii="Lato" w:eastAsia="Times New Roman" w:hAnsi="Lato" w:cs="Times New Roman"/>
            <w:color w:val="0E10A1"/>
            <w:kern w:val="0"/>
            <w:sz w:val="23"/>
            <w:szCs w:val="23"/>
            <w:u w:val="single"/>
            <w:shd w:val="clear" w:color="auto" w:fill="FBFB68"/>
            <w:lang w:eastAsia="it-IT"/>
            <w14:ligatures w14:val="none"/>
          </w:rPr>
          <w:t>n. 202</w:t>
        </w:r>
      </w:hyperlink>
      <w:r w:rsidRPr="00A52DF1">
        <w:rPr>
          <w:rFonts w:ascii="Lato" w:eastAsia="Times New Roman" w:hAnsi="Lato" w:cs="Times New Roman"/>
          <w:color w:val="000000"/>
          <w:kern w:val="0"/>
          <w:sz w:val="23"/>
          <w:szCs w:val="23"/>
          <w:lang w:eastAsia="it-IT"/>
          <w14:ligatures w14:val="none"/>
        </w:rPr>
        <w:t>, </w:t>
      </w:r>
      <w:hyperlink r:id="rId27" w:history="1">
        <w:r w:rsidRPr="00A52DF1">
          <w:rPr>
            <w:rFonts w:ascii="Lato" w:eastAsia="Times New Roman" w:hAnsi="Lato" w:cs="Times New Roman"/>
            <w:color w:val="0E10A1"/>
            <w:kern w:val="0"/>
            <w:sz w:val="23"/>
            <w:szCs w:val="23"/>
            <w:u w:val="single"/>
            <w:shd w:val="clear" w:color="auto" w:fill="FBFB68"/>
            <w:lang w:eastAsia="it-IT"/>
            <w14:ligatures w14:val="none"/>
          </w:rPr>
          <w:t>n. 172</w:t>
        </w:r>
      </w:hyperlink>
      <w:r w:rsidRPr="00A52DF1">
        <w:rPr>
          <w:rFonts w:ascii="Lato" w:eastAsia="Times New Roman" w:hAnsi="Lato" w:cs="Times New Roman"/>
          <w:color w:val="000000"/>
          <w:kern w:val="0"/>
          <w:sz w:val="23"/>
          <w:szCs w:val="23"/>
          <w:lang w:eastAsia="it-IT"/>
          <w14:ligatures w14:val="none"/>
        </w:rPr>
        <w:t>, </w:t>
      </w:r>
      <w:hyperlink r:id="rId28" w:history="1">
        <w:r w:rsidRPr="00A52DF1">
          <w:rPr>
            <w:rFonts w:ascii="Lato" w:eastAsia="Times New Roman" w:hAnsi="Lato" w:cs="Times New Roman"/>
            <w:color w:val="0E10A1"/>
            <w:kern w:val="0"/>
            <w:sz w:val="23"/>
            <w:szCs w:val="23"/>
            <w:u w:val="single"/>
            <w:shd w:val="clear" w:color="auto" w:fill="FBFB68"/>
            <w:lang w:eastAsia="it-IT"/>
            <w14:ligatures w14:val="none"/>
          </w:rPr>
          <w:t>n. 40</w:t>
        </w:r>
      </w:hyperlink>
      <w:r w:rsidRPr="00A52DF1">
        <w:rPr>
          <w:rFonts w:ascii="Lato" w:eastAsia="Times New Roman" w:hAnsi="Lato" w:cs="Times New Roman"/>
          <w:color w:val="000000"/>
          <w:kern w:val="0"/>
          <w:sz w:val="23"/>
          <w:szCs w:val="23"/>
          <w:lang w:eastAsia="it-IT"/>
          <w14:ligatures w14:val="none"/>
        </w:rPr>
        <w:t> e n</w:t>
      </w:r>
      <w:hyperlink r:id="rId29" w:history="1">
        <w:r w:rsidRPr="00A52DF1">
          <w:rPr>
            <w:rFonts w:ascii="Lato" w:eastAsia="Times New Roman" w:hAnsi="Lato" w:cs="Times New Roman"/>
            <w:color w:val="0E10A1"/>
            <w:kern w:val="0"/>
            <w:sz w:val="23"/>
            <w:szCs w:val="23"/>
            <w:u w:val="single"/>
            <w:shd w:val="clear" w:color="auto" w:fill="FBFB68"/>
            <w:lang w:eastAsia="it-IT"/>
            <w14:ligatures w14:val="none"/>
          </w:rPr>
          <w:t>. 2 del 2013</w:t>
        </w:r>
      </w:hyperlink>
      <w:r w:rsidRPr="00A52DF1">
        <w:rPr>
          <w:rFonts w:ascii="Lato" w:eastAsia="Times New Roman" w:hAnsi="Lato" w:cs="Times New Roman"/>
          <w:color w:val="000000"/>
          <w:kern w:val="0"/>
          <w:sz w:val="23"/>
          <w:szCs w:val="23"/>
          <w:lang w:eastAsia="it-IT"/>
          <w14:ligatures w14:val="none"/>
        </w:rPr>
        <w:t>, </w:t>
      </w:r>
      <w:hyperlink r:id="rId30" w:history="1">
        <w:r w:rsidRPr="00A52DF1">
          <w:rPr>
            <w:rFonts w:ascii="Lato" w:eastAsia="Times New Roman" w:hAnsi="Lato" w:cs="Times New Roman"/>
            <w:color w:val="0E10A1"/>
            <w:kern w:val="0"/>
            <w:sz w:val="23"/>
            <w:szCs w:val="23"/>
            <w:u w:val="single"/>
            <w:shd w:val="clear" w:color="auto" w:fill="FBFB68"/>
            <w:lang w:eastAsia="it-IT"/>
            <w14:ligatures w14:val="none"/>
          </w:rPr>
          <w:t>n. 172 del 2012</w:t>
        </w:r>
      </w:hyperlink>
      <w:r w:rsidRPr="00A52DF1">
        <w:rPr>
          <w:rFonts w:ascii="Lato" w:eastAsia="Times New Roman" w:hAnsi="Lato" w:cs="Times New Roman"/>
          <w:color w:val="000000"/>
          <w:kern w:val="0"/>
          <w:sz w:val="23"/>
          <w:szCs w:val="23"/>
          <w:lang w:eastAsia="it-IT"/>
          <w14:ligatures w14:val="none"/>
        </w:rPr>
        <w:t>, </w:t>
      </w:r>
      <w:hyperlink r:id="rId31" w:history="1">
        <w:r w:rsidRPr="00A52DF1">
          <w:rPr>
            <w:rFonts w:ascii="Lato" w:eastAsia="Times New Roman" w:hAnsi="Lato" w:cs="Times New Roman"/>
            <w:color w:val="0E10A1"/>
            <w:kern w:val="0"/>
            <w:sz w:val="23"/>
            <w:szCs w:val="23"/>
            <w:u w:val="single"/>
            <w:shd w:val="clear" w:color="auto" w:fill="FBFB68"/>
            <w:lang w:eastAsia="it-IT"/>
            <w14:ligatures w14:val="none"/>
          </w:rPr>
          <w:t>n. 245</w:t>
        </w:r>
      </w:hyperlink>
      <w:r w:rsidRPr="00A52DF1">
        <w:rPr>
          <w:rFonts w:ascii="Lato" w:eastAsia="Times New Roman" w:hAnsi="Lato" w:cs="Times New Roman"/>
          <w:color w:val="000000"/>
          <w:kern w:val="0"/>
          <w:sz w:val="23"/>
          <w:szCs w:val="23"/>
          <w:lang w:eastAsia="it-IT"/>
          <w14:ligatures w14:val="none"/>
        </w:rPr>
        <w:t> e </w:t>
      </w:r>
      <w:hyperlink r:id="rId32" w:history="1">
        <w:r w:rsidRPr="00A52DF1">
          <w:rPr>
            <w:rFonts w:ascii="Lato" w:eastAsia="Times New Roman" w:hAnsi="Lato" w:cs="Times New Roman"/>
            <w:color w:val="0E10A1"/>
            <w:kern w:val="0"/>
            <w:sz w:val="23"/>
            <w:szCs w:val="23"/>
            <w:u w:val="single"/>
            <w:shd w:val="clear" w:color="auto" w:fill="FBFB68"/>
            <w:lang w:eastAsia="it-IT"/>
            <w14:ligatures w14:val="none"/>
          </w:rPr>
          <w:t>n. 61 del 2011</w:t>
        </w:r>
      </w:hyperlink>
      <w:r w:rsidRPr="00A52DF1">
        <w:rPr>
          <w:rFonts w:ascii="Lato" w:eastAsia="Times New Roman" w:hAnsi="Lato" w:cs="Times New Roman"/>
          <w:color w:val="000000"/>
          <w:kern w:val="0"/>
          <w:sz w:val="23"/>
          <w:szCs w:val="23"/>
          <w:lang w:eastAsia="it-IT"/>
          <w14:ligatures w14:val="none"/>
        </w:rPr>
        <w:t>, </w:t>
      </w:r>
      <w:hyperlink r:id="rId33" w:history="1">
        <w:r w:rsidRPr="00A52DF1">
          <w:rPr>
            <w:rFonts w:ascii="Lato" w:eastAsia="Times New Roman" w:hAnsi="Lato" w:cs="Times New Roman"/>
            <w:color w:val="0E10A1"/>
            <w:kern w:val="0"/>
            <w:sz w:val="23"/>
            <w:szCs w:val="23"/>
            <w:u w:val="single"/>
            <w:shd w:val="clear" w:color="auto" w:fill="FBFB68"/>
            <w:lang w:eastAsia="it-IT"/>
            <w14:ligatures w14:val="none"/>
          </w:rPr>
          <w:t>n. 187 del 2010</w:t>
        </w:r>
      </w:hyperlink>
      <w:r w:rsidRPr="00A52DF1">
        <w:rPr>
          <w:rFonts w:ascii="Lato" w:eastAsia="Times New Roman" w:hAnsi="Lato" w:cs="Times New Roman"/>
          <w:color w:val="000000"/>
          <w:kern w:val="0"/>
          <w:sz w:val="23"/>
          <w:szCs w:val="23"/>
          <w:lang w:eastAsia="it-IT"/>
          <w14:ligatures w14:val="none"/>
        </w:rPr>
        <w:t>, </w:t>
      </w:r>
      <w:hyperlink r:id="rId34" w:history="1">
        <w:r w:rsidRPr="00A52DF1">
          <w:rPr>
            <w:rFonts w:ascii="Lato" w:eastAsia="Times New Roman" w:hAnsi="Lato" w:cs="Times New Roman"/>
            <w:color w:val="0E10A1"/>
            <w:kern w:val="0"/>
            <w:sz w:val="23"/>
            <w:szCs w:val="23"/>
            <w:u w:val="single"/>
            <w:shd w:val="clear" w:color="auto" w:fill="FBFB68"/>
            <w:lang w:eastAsia="it-IT"/>
            <w14:ligatures w14:val="none"/>
          </w:rPr>
          <w:t>n. 306</w:t>
        </w:r>
      </w:hyperlink>
      <w:r w:rsidRPr="00A52DF1">
        <w:rPr>
          <w:rFonts w:ascii="Lato" w:eastAsia="Times New Roman" w:hAnsi="Lato" w:cs="Times New Roman"/>
          <w:color w:val="000000"/>
          <w:kern w:val="0"/>
          <w:sz w:val="23"/>
          <w:szCs w:val="23"/>
          <w:lang w:eastAsia="it-IT"/>
          <w14:ligatures w14:val="none"/>
        </w:rPr>
        <w:t> e </w:t>
      </w:r>
      <w:hyperlink r:id="rId35" w:history="1">
        <w:r w:rsidRPr="00A52DF1">
          <w:rPr>
            <w:rFonts w:ascii="Lato" w:eastAsia="Times New Roman" w:hAnsi="Lato" w:cs="Times New Roman"/>
            <w:color w:val="0E10A1"/>
            <w:kern w:val="0"/>
            <w:sz w:val="23"/>
            <w:szCs w:val="23"/>
            <w:u w:val="single"/>
            <w:shd w:val="clear" w:color="auto" w:fill="FBFB68"/>
            <w:lang w:eastAsia="it-IT"/>
            <w14:ligatures w14:val="none"/>
          </w:rPr>
          <w:t>n. 148 del 2008</w:t>
        </w:r>
      </w:hyperlink>
      <w:r w:rsidRPr="00A52DF1">
        <w:rPr>
          <w:rFonts w:ascii="Lato" w:eastAsia="Times New Roman" w:hAnsi="Lato" w:cs="Times New Roman"/>
          <w:color w:val="000000"/>
          <w:kern w:val="0"/>
          <w:sz w:val="23"/>
          <w:szCs w:val="23"/>
          <w:lang w:eastAsia="it-IT"/>
          <w14:ligatures w14:val="none"/>
        </w:rPr>
        <w:t>, </w:t>
      </w:r>
      <w:hyperlink r:id="rId36" w:history="1">
        <w:r w:rsidRPr="00A52DF1">
          <w:rPr>
            <w:rFonts w:ascii="Lato" w:eastAsia="Times New Roman" w:hAnsi="Lato" w:cs="Times New Roman"/>
            <w:color w:val="0E10A1"/>
            <w:kern w:val="0"/>
            <w:sz w:val="23"/>
            <w:szCs w:val="23"/>
            <w:u w:val="single"/>
            <w:shd w:val="clear" w:color="auto" w:fill="FBFB68"/>
            <w:lang w:eastAsia="it-IT"/>
            <w14:ligatures w14:val="none"/>
          </w:rPr>
          <w:t>n. 324 del 2006</w:t>
        </w:r>
      </w:hyperlink>
      <w:r w:rsidRPr="00A52DF1">
        <w:rPr>
          <w:rFonts w:ascii="Lato" w:eastAsia="Times New Roman" w:hAnsi="Lato" w:cs="Times New Roman"/>
          <w:color w:val="000000"/>
          <w:kern w:val="0"/>
          <w:sz w:val="23"/>
          <w:szCs w:val="23"/>
          <w:lang w:eastAsia="it-IT"/>
          <w14:ligatures w14:val="none"/>
        </w:rPr>
        <w:t>, </w:t>
      </w:r>
      <w:hyperlink r:id="rId37" w:history="1">
        <w:r w:rsidRPr="00A52DF1">
          <w:rPr>
            <w:rFonts w:ascii="Lato" w:eastAsia="Times New Roman" w:hAnsi="Lato" w:cs="Times New Roman"/>
            <w:color w:val="0E10A1"/>
            <w:kern w:val="0"/>
            <w:sz w:val="23"/>
            <w:szCs w:val="23"/>
            <w:u w:val="single"/>
            <w:shd w:val="clear" w:color="auto" w:fill="FBFB68"/>
            <w:lang w:eastAsia="it-IT"/>
            <w14:ligatures w14:val="none"/>
          </w:rPr>
          <w:t>n. 432 del 2005</w:t>
        </w:r>
      </w:hyperlink>
      <w:r w:rsidRPr="00A52DF1">
        <w:rPr>
          <w:rFonts w:ascii="Lato" w:eastAsia="Times New Roman" w:hAnsi="Lato" w:cs="Times New Roman"/>
          <w:color w:val="000000"/>
          <w:kern w:val="0"/>
          <w:sz w:val="23"/>
          <w:szCs w:val="23"/>
          <w:lang w:eastAsia="it-IT"/>
          <w14:ligatures w14:val="none"/>
        </w:rPr>
        <w:t>, </w:t>
      </w:r>
      <w:hyperlink r:id="rId38" w:history="1">
        <w:r w:rsidRPr="00A52DF1">
          <w:rPr>
            <w:rFonts w:ascii="Lato" w:eastAsia="Times New Roman" w:hAnsi="Lato" w:cs="Times New Roman"/>
            <w:color w:val="0E10A1"/>
            <w:kern w:val="0"/>
            <w:sz w:val="23"/>
            <w:szCs w:val="23"/>
            <w:u w:val="single"/>
            <w:shd w:val="clear" w:color="auto" w:fill="FBFB68"/>
            <w:lang w:eastAsia="it-IT"/>
            <w14:ligatures w14:val="none"/>
          </w:rPr>
          <w:t>n. 252</w:t>
        </w:r>
      </w:hyperlink>
      <w:r w:rsidRPr="00A52DF1">
        <w:rPr>
          <w:rFonts w:ascii="Lato" w:eastAsia="Times New Roman" w:hAnsi="Lato" w:cs="Times New Roman"/>
          <w:color w:val="000000"/>
          <w:kern w:val="0"/>
          <w:sz w:val="23"/>
          <w:szCs w:val="23"/>
          <w:lang w:eastAsia="it-IT"/>
          <w14:ligatures w14:val="none"/>
        </w:rPr>
        <w:t> e </w:t>
      </w:r>
      <w:hyperlink r:id="rId39" w:history="1">
        <w:r w:rsidRPr="00A52DF1">
          <w:rPr>
            <w:rFonts w:ascii="Lato" w:eastAsia="Times New Roman" w:hAnsi="Lato" w:cs="Times New Roman"/>
            <w:color w:val="0E10A1"/>
            <w:kern w:val="0"/>
            <w:sz w:val="23"/>
            <w:szCs w:val="23"/>
            <w:u w:val="single"/>
            <w:shd w:val="clear" w:color="auto" w:fill="FBFB68"/>
            <w:lang w:eastAsia="it-IT"/>
            <w14:ligatures w14:val="none"/>
          </w:rPr>
          <w:t>n. 105 del 2001</w:t>
        </w:r>
      </w:hyperlink>
      <w:r w:rsidRPr="00A52DF1">
        <w:rPr>
          <w:rFonts w:ascii="Lato" w:eastAsia="Times New Roman" w:hAnsi="Lato" w:cs="Times New Roman"/>
          <w:color w:val="000000"/>
          <w:kern w:val="0"/>
          <w:sz w:val="23"/>
          <w:szCs w:val="23"/>
          <w:lang w:eastAsia="it-IT"/>
          <w14:ligatures w14:val="none"/>
        </w:rPr>
        <w:t>, </w:t>
      </w:r>
      <w:hyperlink r:id="rId40" w:history="1">
        <w:r w:rsidRPr="00A52DF1">
          <w:rPr>
            <w:rFonts w:ascii="Lato" w:eastAsia="Times New Roman" w:hAnsi="Lato" w:cs="Times New Roman"/>
            <w:color w:val="0E10A1"/>
            <w:kern w:val="0"/>
            <w:sz w:val="23"/>
            <w:szCs w:val="23"/>
            <w:u w:val="single"/>
            <w:shd w:val="clear" w:color="auto" w:fill="FBFB68"/>
            <w:lang w:eastAsia="it-IT"/>
            <w14:ligatures w14:val="none"/>
          </w:rPr>
          <w:t>n. 203 del 1997</w:t>
        </w:r>
      </w:hyperlink>
      <w:r w:rsidRPr="00A52DF1">
        <w:rPr>
          <w:rFonts w:ascii="Lato" w:eastAsia="Times New Roman" w:hAnsi="Lato" w:cs="Times New Roman"/>
          <w:color w:val="000000"/>
          <w:kern w:val="0"/>
          <w:sz w:val="23"/>
          <w:szCs w:val="23"/>
          <w:lang w:eastAsia="it-IT"/>
          <w14:ligatures w14:val="none"/>
        </w:rPr>
        <w:t>, </w:t>
      </w:r>
      <w:hyperlink r:id="rId41" w:history="1">
        <w:r w:rsidRPr="00A52DF1">
          <w:rPr>
            <w:rFonts w:ascii="Lato" w:eastAsia="Times New Roman" w:hAnsi="Lato" w:cs="Times New Roman"/>
            <w:color w:val="0E10A1"/>
            <w:kern w:val="0"/>
            <w:sz w:val="23"/>
            <w:szCs w:val="23"/>
            <w:u w:val="single"/>
            <w:shd w:val="clear" w:color="auto" w:fill="FBFB68"/>
            <w:lang w:eastAsia="it-IT"/>
            <w14:ligatures w14:val="none"/>
          </w:rPr>
          <w:t>n. 62 del 1994</w:t>
        </w:r>
      </w:hyperlink>
      <w:r w:rsidRPr="00A52DF1">
        <w:rPr>
          <w:rFonts w:ascii="Lato" w:eastAsia="Times New Roman" w:hAnsi="Lato" w:cs="Times New Roman"/>
          <w:color w:val="000000"/>
          <w:kern w:val="0"/>
          <w:sz w:val="23"/>
          <w:szCs w:val="23"/>
          <w:lang w:eastAsia="it-IT"/>
          <w14:ligatures w14:val="none"/>
        </w:rPr>
        <w:t>, </w:t>
      </w:r>
      <w:hyperlink r:id="rId42" w:history="1">
        <w:r w:rsidRPr="00A52DF1">
          <w:rPr>
            <w:rFonts w:ascii="Lato" w:eastAsia="Times New Roman" w:hAnsi="Lato" w:cs="Times New Roman"/>
            <w:color w:val="0E10A1"/>
            <w:kern w:val="0"/>
            <w:sz w:val="23"/>
            <w:szCs w:val="23"/>
            <w:u w:val="single"/>
            <w:shd w:val="clear" w:color="auto" w:fill="FBFB68"/>
            <w:lang w:eastAsia="it-IT"/>
            <w14:ligatures w14:val="none"/>
          </w:rPr>
          <w:t>n. 54 del 1979</w:t>
        </w:r>
      </w:hyperlink>
      <w:r w:rsidRPr="00A52DF1">
        <w:rPr>
          <w:rFonts w:ascii="Lato" w:eastAsia="Times New Roman" w:hAnsi="Lato" w:cs="Times New Roman"/>
          <w:color w:val="000000"/>
          <w:kern w:val="0"/>
          <w:sz w:val="23"/>
          <w:szCs w:val="23"/>
          <w:lang w:eastAsia="it-IT"/>
          <w14:ligatures w14:val="none"/>
        </w:rPr>
        <w:t>, </w:t>
      </w:r>
      <w:hyperlink r:id="rId43" w:history="1">
        <w:r w:rsidRPr="00A52DF1">
          <w:rPr>
            <w:rFonts w:ascii="Lato" w:eastAsia="Times New Roman" w:hAnsi="Lato" w:cs="Times New Roman"/>
            <w:color w:val="0E10A1"/>
            <w:kern w:val="0"/>
            <w:sz w:val="23"/>
            <w:szCs w:val="23"/>
            <w:u w:val="single"/>
            <w:shd w:val="clear" w:color="auto" w:fill="FBFB68"/>
            <w:lang w:eastAsia="it-IT"/>
            <w14:ligatures w14:val="none"/>
          </w:rPr>
          <w:t>n. 244</w:t>
        </w:r>
      </w:hyperlink>
      <w:r w:rsidRPr="00A52DF1">
        <w:rPr>
          <w:rFonts w:ascii="Lato" w:eastAsia="Times New Roman" w:hAnsi="Lato" w:cs="Times New Roman"/>
          <w:color w:val="000000"/>
          <w:kern w:val="0"/>
          <w:sz w:val="23"/>
          <w:szCs w:val="23"/>
          <w:lang w:eastAsia="it-IT"/>
          <w14:ligatures w14:val="none"/>
        </w:rPr>
        <w:t> e </w:t>
      </w:r>
      <w:hyperlink r:id="rId44" w:history="1">
        <w:r w:rsidRPr="00A52DF1">
          <w:rPr>
            <w:rFonts w:ascii="Lato" w:eastAsia="Times New Roman" w:hAnsi="Lato" w:cs="Times New Roman"/>
            <w:color w:val="0E10A1"/>
            <w:kern w:val="0"/>
            <w:sz w:val="23"/>
            <w:szCs w:val="23"/>
            <w:u w:val="single"/>
            <w:shd w:val="clear" w:color="auto" w:fill="FBFB68"/>
            <w:lang w:eastAsia="it-IT"/>
            <w14:ligatures w14:val="none"/>
          </w:rPr>
          <w:t>n. 177 del 1974</w:t>
        </w:r>
      </w:hyperlink>
      <w:r w:rsidRPr="00A52DF1">
        <w:rPr>
          <w:rFonts w:ascii="Lato" w:eastAsia="Times New Roman" w:hAnsi="Lato" w:cs="Times New Roman"/>
          <w:color w:val="000000"/>
          <w:kern w:val="0"/>
          <w:sz w:val="23"/>
          <w:szCs w:val="23"/>
          <w:lang w:eastAsia="it-IT"/>
          <w14:ligatures w14:val="none"/>
        </w:rPr>
        <w:t>, </w:t>
      </w:r>
      <w:hyperlink r:id="rId45" w:history="1">
        <w:r w:rsidRPr="00A52DF1">
          <w:rPr>
            <w:rFonts w:ascii="Lato" w:eastAsia="Times New Roman" w:hAnsi="Lato" w:cs="Times New Roman"/>
            <w:color w:val="0E10A1"/>
            <w:kern w:val="0"/>
            <w:sz w:val="23"/>
            <w:szCs w:val="23"/>
            <w:u w:val="single"/>
            <w:shd w:val="clear" w:color="auto" w:fill="FBFB68"/>
            <w:lang w:eastAsia="it-IT"/>
            <w14:ligatures w14:val="none"/>
          </w:rPr>
          <w:t>n. 144 del 1970</w:t>
        </w:r>
      </w:hyperlink>
      <w:r w:rsidRPr="00A52DF1">
        <w:rPr>
          <w:rFonts w:ascii="Lato" w:eastAsia="Times New Roman" w:hAnsi="Lato" w:cs="Times New Roman"/>
          <w:color w:val="000000"/>
          <w:kern w:val="0"/>
          <w:sz w:val="23"/>
          <w:szCs w:val="23"/>
          <w:lang w:eastAsia="it-IT"/>
          <w14:ligatures w14:val="none"/>
        </w:rPr>
        <w:t>, </w:t>
      </w:r>
      <w:hyperlink r:id="rId46" w:history="1">
        <w:r w:rsidRPr="00A52DF1">
          <w:rPr>
            <w:rFonts w:ascii="Lato" w:eastAsia="Times New Roman" w:hAnsi="Lato" w:cs="Times New Roman"/>
            <w:color w:val="0E10A1"/>
            <w:kern w:val="0"/>
            <w:sz w:val="23"/>
            <w:szCs w:val="23"/>
            <w:u w:val="single"/>
            <w:shd w:val="clear" w:color="auto" w:fill="FBFB68"/>
            <w:lang w:eastAsia="it-IT"/>
            <w14:ligatures w14:val="none"/>
          </w:rPr>
          <w:t>n. 104 del 1969</w:t>
        </w:r>
      </w:hyperlink>
      <w:r w:rsidRPr="00A52DF1">
        <w:rPr>
          <w:rFonts w:ascii="Lato" w:eastAsia="Times New Roman" w:hAnsi="Lato" w:cs="Times New Roman"/>
          <w:color w:val="000000"/>
          <w:kern w:val="0"/>
          <w:sz w:val="23"/>
          <w:szCs w:val="23"/>
          <w:lang w:eastAsia="it-IT"/>
          <w14:ligatures w14:val="none"/>
        </w:rPr>
        <w:t>, </w:t>
      </w:r>
      <w:hyperlink r:id="rId47" w:history="1">
        <w:r w:rsidRPr="00A52DF1">
          <w:rPr>
            <w:rFonts w:ascii="Lato" w:eastAsia="Times New Roman" w:hAnsi="Lato" w:cs="Times New Roman"/>
            <w:color w:val="0E10A1"/>
            <w:kern w:val="0"/>
            <w:sz w:val="23"/>
            <w:szCs w:val="23"/>
            <w:u w:val="single"/>
            <w:shd w:val="clear" w:color="auto" w:fill="FBFB68"/>
            <w:lang w:eastAsia="it-IT"/>
            <w14:ligatures w14:val="none"/>
          </w:rPr>
          <w:t>n. 120 del 1967</w:t>
        </w:r>
      </w:hyperlink>
      <w:r w:rsidRPr="00A52DF1">
        <w:rPr>
          <w:rFonts w:ascii="Lato" w:eastAsia="Times New Roman" w:hAnsi="Lato" w:cs="Times New Roman"/>
          <w:color w:val="000000"/>
          <w:kern w:val="0"/>
          <w:sz w:val="23"/>
          <w:szCs w:val="23"/>
          <w:lang w:eastAsia="it-IT"/>
          <w14:ligatures w14:val="none"/>
        </w:rPr>
        <w:t>).</w:t>
      </w:r>
    </w:p>
    <w:p w14:paraId="3AD56A3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FF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La norma censurata, privando i richiedenti asilo del riconoscimento giuridico della loro condizione di residenti, incide quindi irragionevolmente sulla «</w:t>
      </w:r>
      <w:r w:rsidRPr="00A52DF1">
        <w:rPr>
          <w:rFonts w:ascii="Lato" w:eastAsia="Times New Roman" w:hAnsi="Lato" w:cs="Times New Roman"/>
          <w:color w:val="FF0000"/>
          <w:kern w:val="0"/>
          <w:sz w:val="23"/>
          <w:szCs w:val="23"/>
          <w:lang w:eastAsia="it-IT"/>
          <w14:ligatures w14:val="none"/>
        </w:rPr>
        <w:t>pari dignità sociale», riconosciuta dall’art. 3 Cost. alla persona in quanto tale, a prescindere dal suo status e dal grado di stabilità della sua permanenza regolare nel territorio italiano.</w:t>
      </w:r>
    </w:p>
    <w:p w14:paraId="2857D0A4"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Da questo punto di vista, in concreto, il diniego di iscrizione anagrafica presenta effetti pregiudizievoli per i richiedenti asilo quanto all’accesso ai servizi anche ad essi garantiti. Senza entrare nel merito della dibattuta questione relativa alla possibilità o meno di ottenere, per ciascun servizio, l’erogazione da parte delle amministrazioni competenti in assenza della residenza anagrafica – questione che non viene in rilievo in questa sede – non si può negare che la previsione della fornitura dei servizi nel luogo di domicilio, anziché in quello di residenza (art. 13, comma 1, lettera b, numero 1, del </w:t>
      </w:r>
      <w:proofErr w:type="spellStart"/>
      <w:r w:rsidRPr="00A52DF1">
        <w:rPr>
          <w:rFonts w:ascii="Lato" w:eastAsia="Times New Roman" w:hAnsi="Lato" w:cs="Times New Roman"/>
          <w:color w:val="000000"/>
          <w:kern w:val="0"/>
          <w:sz w:val="23"/>
          <w:szCs w:val="23"/>
          <w:lang w:eastAsia="it-IT"/>
          <w14:ligatures w14:val="none"/>
        </w:rPr>
        <w:t>d.l.</w:t>
      </w:r>
      <w:proofErr w:type="spellEnd"/>
      <w:r w:rsidRPr="00A52DF1">
        <w:rPr>
          <w:rFonts w:ascii="Lato" w:eastAsia="Times New Roman" w:hAnsi="Lato" w:cs="Times New Roman"/>
          <w:color w:val="000000"/>
          <w:kern w:val="0"/>
          <w:sz w:val="23"/>
          <w:szCs w:val="23"/>
          <w:lang w:eastAsia="it-IT"/>
          <w14:ligatures w14:val="none"/>
        </w:rPr>
        <w:t xml:space="preserve"> n. 113 del 2018), rende, quantomeno, ingiustificatamente più difficile l’accesso ai servizi stessi, non fosse altro che per gli ostacoli di ordine pratico e burocratico connessi alle modalità di richiesta dell’erogazione – che fanno quasi sempre riferimento alla residenza e alla sua certificazione a mezzo dell’anagrafe – e per la stessa difficoltà di individuare il luogo di domicilio, a fronte della certezza offerta invece dal dato formale della residenza anagrafica.</w:t>
      </w:r>
    </w:p>
    <w:p w14:paraId="4BEBDA33"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Si deve pertanto concludere che, anche sotto questo profilo, la questione di legittimità costituzionale sollevata in riferimento all’art. 3 Cost. è fondata.</w:t>
      </w:r>
    </w:p>
    <w:p w14:paraId="321EC054"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5.– Dall’illegittimità costituzionale dell’art. 4, comma 1-bis, del d.lgs. n. 142 del 2015, come introdotto dall’art. 13, comma 1, lettera a), numero 2), del </w:t>
      </w:r>
      <w:proofErr w:type="spellStart"/>
      <w:r w:rsidRPr="00A52DF1">
        <w:rPr>
          <w:rFonts w:ascii="Lato" w:eastAsia="Times New Roman" w:hAnsi="Lato" w:cs="Times New Roman"/>
          <w:color w:val="000000"/>
          <w:kern w:val="0"/>
          <w:sz w:val="23"/>
          <w:szCs w:val="23"/>
          <w:lang w:eastAsia="it-IT"/>
          <w14:ligatures w14:val="none"/>
        </w:rPr>
        <w:t>d.l.</w:t>
      </w:r>
      <w:proofErr w:type="spellEnd"/>
      <w:r w:rsidRPr="00A52DF1">
        <w:rPr>
          <w:rFonts w:ascii="Lato" w:eastAsia="Times New Roman" w:hAnsi="Lato" w:cs="Times New Roman"/>
          <w:color w:val="000000"/>
          <w:kern w:val="0"/>
          <w:sz w:val="23"/>
          <w:szCs w:val="23"/>
          <w:lang w:eastAsia="it-IT"/>
          <w14:ligatures w14:val="none"/>
        </w:rPr>
        <w:t xml:space="preserve"> n. 113 del 2018, deriva l’illegittimità costituzionale dell’intero art. 13 citato. Come messo in evidenza nel punto 2.2.2, il complesso delle disposizioni contenute nello stesso art. 13 costituisce infatti un insieme organico, espressivo di una logica unitaria, che trova il suo fulcro nel divieto di iscrizione anagrafica.</w:t>
      </w:r>
    </w:p>
    <w:p w14:paraId="60C51C46"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xml:space="preserve">Visto l’art. 27 della legge 11 marzo 1953, n. 87 (Norme sulla costituzione e sul funzionamento della Corte costituzionale), va perciò dichiarata in via consequenziale l’illegittimità costituzionale delle restanti disposizioni dell’art. 13 del </w:t>
      </w:r>
      <w:proofErr w:type="spellStart"/>
      <w:r w:rsidRPr="00A52DF1">
        <w:rPr>
          <w:rFonts w:ascii="Lato" w:eastAsia="Times New Roman" w:hAnsi="Lato" w:cs="Times New Roman"/>
          <w:color w:val="000000"/>
          <w:kern w:val="0"/>
          <w:sz w:val="23"/>
          <w:szCs w:val="23"/>
          <w:lang w:eastAsia="it-IT"/>
          <w14:ligatures w14:val="none"/>
        </w:rPr>
        <w:t>d.l.</w:t>
      </w:r>
      <w:proofErr w:type="spellEnd"/>
      <w:r w:rsidRPr="00A52DF1">
        <w:rPr>
          <w:rFonts w:ascii="Lato" w:eastAsia="Times New Roman" w:hAnsi="Lato" w:cs="Times New Roman"/>
          <w:color w:val="000000"/>
          <w:kern w:val="0"/>
          <w:sz w:val="23"/>
          <w:szCs w:val="23"/>
          <w:lang w:eastAsia="it-IT"/>
          <w14:ligatures w14:val="none"/>
        </w:rPr>
        <w:t xml:space="preserve"> n. 113 del 2018.</w:t>
      </w:r>
    </w:p>
    <w:p w14:paraId="04DA8765"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6.– Sono assorbite le ulteriori questioni di legittimità costituzionale prospettate dai Tribunali rimettenti.</w:t>
      </w:r>
    </w:p>
    <w:p w14:paraId="4E88D8A0" w14:textId="77777777" w:rsidR="00A52DF1" w:rsidRPr="00A52DF1" w:rsidRDefault="00A52DF1" w:rsidP="00A52DF1">
      <w:pPr>
        <w:spacing w:after="150" w:line="338" w:lineRule="atLeast"/>
        <w:ind w:firstLine="284"/>
        <w:jc w:val="center"/>
        <w:textAlignment w:val="baseline"/>
        <w:rPr>
          <w:rFonts w:ascii="Lato" w:eastAsia="Times New Roman" w:hAnsi="Lato" w:cs="Times New Roman"/>
          <w:color w:val="000000"/>
          <w:kern w:val="0"/>
          <w:sz w:val="23"/>
          <w:szCs w:val="23"/>
          <w:lang w:eastAsia="it-IT"/>
          <w14:ligatures w14:val="none"/>
        </w:rPr>
      </w:pPr>
      <w:bookmarkStart w:id="0" w:name="dispositivo"/>
      <w:bookmarkEnd w:id="0"/>
      <w:r w:rsidRPr="00A52DF1">
        <w:rPr>
          <w:rFonts w:ascii="Lato" w:eastAsia="Times New Roman" w:hAnsi="Lato" w:cs="Times New Roman"/>
          <w:color w:val="000000"/>
          <w:kern w:val="0"/>
          <w:sz w:val="23"/>
          <w:szCs w:val="23"/>
          <w:lang w:eastAsia="it-IT"/>
          <w14:ligatures w14:val="none"/>
        </w:rPr>
        <w:t>Per Questi Motivi</w:t>
      </w:r>
    </w:p>
    <w:p w14:paraId="72EB4F09" w14:textId="77777777" w:rsidR="00A52DF1" w:rsidRPr="00A52DF1" w:rsidRDefault="00A52DF1" w:rsidP="00A52DF1">
      <w:pPr>
        <w:spacing w:after="150" w:line="338" w:lineRule="atLeast"/>
        <w:ind w:firstLine="284"/>
        <w:jc w:val="center"/>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LA CORTE COSTITUZIONALE</w:t>
      </w:r>
    </w:p>
    <w:p w14:paraId="4843EF1A"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riuniti i giudizi,</w:t>
      </w:r>
    </w:p>
    <w:p w14:paraId="71388266"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1) </w:t>
      </w:r>
      <w:r w:rsidRPr="00A52DF1">
        <w:rPr>
          <w:rFonts w:ascii="Lato" w:eastAsia="Times New Roman" w:hAnsi="Lato" w:cs="Times New Roman"/>
          <w:i/>
          <w:iCs/>
          <w:color w:val="000000"/>
          <w:kern w:val="0"/>
          <w:sz w:val="23"/>
          <w:szCs w:val="23"/>
          <w:lang w:eastAsia="it-IT"/>
          <w14:ligatures w14:val="none"/>
        </w:rPr>
        <w:t>dichiara</w:t>
      </w:r>
      <w:r w:rsidRPr="00A52DF1">
        <w:rPr>
          <w:rFonts w:ascii="Lato" w:eastAsia="Times New Roman" w:hAnsi="Lato" w:cs="Times New Roman"/>
          <w:color w:val="000000"/>
          <w:kern w:val="0"/>
          <w:sz w:val="23"/>
          <w:szCs w:val="23"/>
          <w:lang w:eastAsia="it-IT"/>
          <w14:ligatures w14:val="none"/>
        </w:rPr>
        <w:t xml:space="preserve"> l’illegittimità costituzionale dell’art. 4, comma 1-bis, del decreto legislativo 18 agosto 2015, n. 142 (Attuazione della direttiva 2013/33/UE recante norme relative </w:t>
      </w:r>
      <w:r w:rsidRPr="00A52DF1">
        <w:rPr>
          <w:rFonts w:ascii="Lato" w:eastAsia="Times New Roman" w:hAnsi="Lato" w:cs="Times New Roman"/>
          <w:color w:val="000000"/>
          <w:kern w:val="0"/>
          <w:sz w:val="23"/>
          <w:szCs w:val="23"/>
          <w:lang w:eastAsia="it-IT"/>
          <w14:ligatures w14:val="none"/>
        </w:rPr>
        <w:lastRenderedPageBreak/>
        <w:t>all’accoglienza dei richiedenti protezione internazionale, nonché della direttiva 2013/32/UE, recante procedure comuni ai fini del riconoscimento e della revoca dello status di protezione internazionale), come introdotto dall’art. 13, comma 1, lettera a), numero 2), del decreto-legge 4 ottobre 2018, n. 113 (Disposizioni urgenti in materia di protezione internazionale e immigrazione, sicurezza pubblica, nonché misure per la funzionalità del Ministero dell’interno e l’organizzazione e il funzionamento dell’Agenzia nazionale per l’amministrazione e la destinazione dei beni sequestrati e confiscati alla criminalità organizzata), convertito, con modificazioni, nella legge 1° dicembre 2018, n. 132;</w:t>
      </w:r>
    </w:p>
    <w:p w14:paraId="1FEF679C"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2) </w:t>
      </w:r>
      <w:r w:rsidRPr="00A52DF1">
        <w:rPr>
          <w:rFonts w:ascii="Lato" w:eastAsia="Times New Roman" w:hAnsi="Lato" w:cs="Times New Roman"/>
          <w:i/>
          <w:iCs/>
          <w:color w:val="000000"/>
          <w:kern w:val="0"/>
          <w:sz w:val="23"/>
          <w:szCs w:val="23"/>
          <w:lang w:eastAsia="it-IT"/>
          <w14:ligatures w14:val="none"/>
        </w:rPr>
        <w:t>dichiara</w:t>
      </w:r>
      <w:r w:rsidRPr="00A52DF1">
        <w:rPr>
          <w:rFonts w:ascii="Lato" w:eastAsia="Times New Roman" w:hAnsi="Lato" w:cs="Times New Roman"/>
          <w:color w:val="000000"/>
          <w:kern w:val="0"/>
          <w:sz w:val="23"/>
          <w:szCs w:val="23"/>
          <w:lang w:eastAsia="it-IT"/>
          <w14:ligatures w14:val="none"/>
        </w:rPr>
        <w:t xml:space="preserve">, in via consequenziale, ai sensi dell’art. 27 della legge 11 marzo 1953, n. 87 (Norme sulla costituzione e sul funzionamento della Corte costituzionale), l’illegittimità costituzionale delle restanti disposizioni dell’art. 13 del </w:t>
      </w:r>
      <w:proofErr w:type="spellStart"/>
      <w:r w:rsidRPr="00A52DF1">
        <w:rPr>
          <w:rFonts w:ascii="Lato" w:eastAsia="Times New Roman" w:hAnsi="Lato" w:cs="Times New Roman"/>
          <w:color w:val="000000"/>
          <w:kern w:val="0"/>
          <w:sz w:val="23"/>
          <w:szCs w:val="23"/>
          <w:lang w:eastAsia="it-IT"/>
          <w14:ligatures w14:val="none"/>
        </w:rPr>
        <w:t>d.l.</w:t>
      </w:r>
      <w:proofErr w:type="spellEnd"/>
      <w:r w:rsidRPr="00A52DF1">
        <w:rPr>
          <w:rFonts w:ascii="Lato" w:eastAsia="Times New Roman" w:hAnsi="Lato" w:cs="Times New Roman"/>
          <w:color w:val="000000"/>
          <w:kern w:val="0"/>
          <w:sz w:val="23"/>
          <w:szCs w:val="23"/>
          <w:lang w:eastAsia="it-IT"/>
          <w14:ligatures w14:val="none"/>
        </w:rPr>
        <w:t xml:space="preserve"> n. 113 del 2018;</w:t>
      </w:r>
    </w:p>
    <w:p w14:paraId="3E669C5F"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3) </w:t>
      </w:r>
      <w:r w:rsidRPr="00A52DF1">
        <w:rPr>
          <w:rFonts w:ascii="Lato" w:eastAsia="Times New Roman" w:hAnsi="Lato" w:cs="Times New Roman"/>
          <w:i/>
          <w:iCs/>
          <w:color w:val="000000"/>
          <w:kern w:val="0"/>
          <w:sz w:val="23"/>
          <w:szCs w:val="23"/>
          <w:lang w:eastAsia="it-IT"/>
          <w14:ligatures w14:val="none"/>
        </w:rPr>
        <w:t>dichiara</w:t>
      </w:r>
      <w:r w:rsidRPr="00A52DF1">
        <w:rPr>
          <w:rFonts w:ascii="Lato" w:eastAsia="Times New Roman" w:hAnsi="Lato" w:cs="Times New Roman"/>
          <w:color w:val="000000"/>
          <w:kern w:val="0"/>
          <w:sz w:val="23"/>
          <w:szCs w:val="23"/>
          <w:lang w:eastAsia="it-IT"/>
          <w14:ligatures w14:val="none"/>
        </w:rPr>
        <w:t> non fondata la questione di legittimità costituzionale </w:t>
      </w:r>
      <w:r w:rsidRPr="00A52DF1">
        <w:rPr>
          <w:rFonts w:ascii="Lato" w:eastAsia="Times New Roman" w:hAnsi="Lato" w:cs="Times New Roman"/>
          <w:b/>
          <w:bCs/>
          <w:i/>
          <w:iCs/>
          <w:color w:val="FF0000"/>
          <w:kern w:val="0"/>
          <w:sz w:val="23"/>
          <w:szCs w:val="23"/>
          <w:lang w:eastAsia="it-IT"/>
          <w14:ligatures w14:val="none"/>
        </w:rPr>
        <w:t>dell’art. 4, comma 1-bis, del d.lgs. n. 142 del 2015</w:t>
      </w:r>
      <w:r w:rsidRPr="00A52DF1">
        <w:rPr>
          <w:rFonts w:ascii="Lato" w:eastAsia="Times New Roman" w:hAnsi="Lato" w:cs="Times New Roman"/>
          <w:color w:val="000000"/>
          <w:kern w:val="0"/>
          <w:sz w:val="23"/>
          <w:szCs w:val="23"/>
          <w:lang w:eastAsia="it-IT"/>
          <w14:ligatures w14:val="none"/>
        </w:rPr>
        <w:t> [</w:t>
      </w:r>
      <w:r w:rsidRPr="00A52DF1">
        <w:rPr>
          <w:rFonts w:ascii="Lato" w:eastAsia="Times New Roman" w:hAnsi="Lato" w:cs="Times New Roman"/>
          <w:i/>
          <w:iCs/>
          <w:color w:val="000000"/>
          <w:kern w:val="0"/>
          <w:sz w:val="23"/>
          <w:szCs w:val="23"/>
          <w:lang w:eastAsia="it-IT"/>
          <w14:ligatures w14:val="none"/>
        </w:rPr>
        <w:t>ex</w:t>
      </w:r>
      <w:r w:rsidRPr="00A52DF1">
        <w:rPr>
          <w:rFonts w:ascii="Lato" w:eastAsia="Times New Roman" w:hAnsi="Lato" w:cs="Times New Roman"/>
          <w:color w:val="000000"/>
          <w:kern w:val="0"/>
          <w:sz w:val="23"/>
          <w:szCs w:val="23"/>
          <w:lang w:eastAsia="it-IT"/>
          <w14:ligatures w14:val="none"/>
        </w:rPr>
        <w:t> </w:t>
      </w:r>
      <w:proofErr w:type="spellStart"/>
      <w:r w:rsidRPr="00A52DF1">
        <w:rPr>
          <w:rFonts w:ascii="Lato" w:eastAsia="Times New Roman" w:hAnsi="Lato" w:cs="Times New Roman"/>
          <w:color w:val="000000"/>
          <w:kern w:val="0"/>
          <w:sz w:val="23"/>
          <w:szCs w:val="23"/>
          <w:lang w:eastAsia="it-IT"/>
          <w14:ligatures w14:val="none"/>
        </w:rPr>
        <w:fldChar w:fldCharType="begin"/>
      </w:r>
      <w:r w:rsidRPr="00A52DF1">
        <w:rPr>
          <w:rFonts w:ascii="Lato" w:eastAsia="Times New Roman" w:hAnsi="Lato" w:cs="Times New Roman"/>
          <w:color w:val="000000"/>
          <w:kern w:val="0"/>
          <w:sz w:val="23"/>
          <w:szCs w:val="23"/>
          <w:lang w:eastAsia="it-IT"/>
          <w14:ligatures w14:val="none"/>
        </w:rPr>
        <w:instrText>HYPERLINK "https://giurcost.org/decisioni/2020/0205o-20.html"</w:instrText>
      </w:r>
      <w:r w:rsidRPr="00A52DF1">
        <w:rPr>
          <w:rFonts w:ascii="Lato" w:eastAsia="Times New Roman" w:hAnsi="Lato" w:cs="Times New Roman"/>
          <w:color w:val="000000"/>
          <w:kern w:val="0"/>
          <w:sz w:val="23"/>
          <w:szCs w:val="23"/>
          <w:lang w:eastAsia="it-IT"/>
          <w14:ligatures w14:val="none"/>
        </w:rPr>
      </w:r>
      <w:r w:rsidRPr="00A52DF1">
        <w:rPr>
          <w:rFonts w:ascii="Lato" w:eastAsia="Times New Roman" w:hAnsi="Lato" w:cs="Times New Roman"/>
          <w:color w:val="000000"/>
          <w:kern w:val="0"/>
          <w:sz w:val="23"/>
          <w:szCs w:val="23"/>
          <w:lang w:eastAsia="it-IT"/>
          <w14:ligatures w14:val="none"/>
        </w:rPr>
        <w:fldChar w:fldCharType="separate"/>
      </w:r>
      <w:r w:rsidRPr="00A52DF1">
        <w:rPr>
          <w:rFonts w:ascii="Lato" w:eastAsia="Times New Roman" w:hAnsi="Lato" w:cs="Times New Roman"/>
          <w:color w:val="0E10A1"/>
          <w:kern w:val="0"/>
          <w:sz w:val="23"/>
          <w:szCs w:val="23"/>
          <w:u w:val="single"/>
          <w:shd w:val="clear" w:color="auto" w:fill="FBFB68"/>
          <w:lang w:eastAsia="it-IT"/>
          <w14:ligatures w14:val="none"/>
        </w:rPr>
        <w:t>ord</w:t>
      </w:r>
      <w:proofErr w:type="spellEnd"/>
      <w:r w:rsidRPr="00A52DF1">
        <w:rPr>
          <w:rFonts w:ascii="Lato" w:eastAsia="Times New Roman" w:hAnsi="Lato" w:cs="Times New Roman"/>
          <w:color w:val="0E10A1"/>
          <w:kern w:val="0"/>
          <w:sz w:val="23"/>
          <w:szCs w:val="23"/>
          <w:u w:val="single"/>
          <w:shd w:val="clear" w:color="auto" w:fill="FBFB68"/>
          <w:lang w:eastAsia="it-IT"/>
          <w14:ligatures w14:val="none"/>
        </w:rPr>
        <w:t>. n. 205 del 2020</w:t>
      </w:r>
      <w:r w:rsidRPr="00A52DF1">
        <w:rPr>
          <w:rFonts w:ascii="Lato" w:eastAsia="Times New Roman" w:hAnsi="Lato" w:cs="Times New Roman"/>
          <w:color w:val="000000"/>
          <w:kern w:val="0"/>
          <w:sz w:val="23"/>
          <w:szCs w:val="23"/>
          <w:lang w:eastAsia="it-IT"/>
          <w14:ligatures w14:val="none"/>
        </w:rPr>
        <w:fldChar w:fldCharType="end"/>
      </w:r>
      <w:r w:rsidRPr="00A52DF1">
        <w:rPr>
          <w:rFonts w:ascii="Lato" w:eastAsia="Times New Roman" w:hAnsi="Lato" w:cs="Times New Roman"/>
          <w:color w:val="000000"/>
          <w:kern w:val="0"/>
          <w:sz w:val="23"/>
          <w:szCs w:val="23"/>
          <w:lang w:eastAsia="it-IT"/>
          <w14:ligatures w14:val="none"/>
        </w:rPr>
        <w:t>, </w:t>
      </w:r>
      <w:proofErr w:type="spellStart"/>
      <w:r w:rsidRPr="00A52DF1">
        <w:rPr>
          <w:rFonts w:ascii="Lato" w:eastAsia="Times New Roman" w:hAnsi="Lato" w:cs="Times New Roman"/>
          <w:i/>
          <w:iCs/>
          <w:color w:val="000000"/>
          <w:kern w:val="0"/>
          <w:sz w:val="23"/>
          <w:szCs w:val="23"/>
          <w:lang w:eastAsia="it-IT"/>
          <w14:ligatures w14:val="none"/>
        </w:rPr>
        <w:t>rectius</w:t>
      </w:r>
      <w:proofErr w:type="spellEnd"/>
      <w:r w:rsidRPr="00A52DF1">
        <w:rPr>
          <w:rFonts w:ascii="Lato" w:eastAsia="Times New Roman" w:hAnsi="Lato" w:cs="Times New Roman"/>
          <w:color w:val="000000"/>
          <w:kern w:val="0"/>
          <w:sz w:val="23"/>
          <w:szCs w:val="23"/>
          <w:lang w:eastAsia="it-IT"/>
          <w14:ligatures w14:val="none"/>
        </w:rPr>
        <w:t>: </w:t>
      </w:r>
      <w:r w:rsidRPr="00A52DF1">
        <w:rPr>
          <w:rFonts w:ascii="Lato" w:eastAsia="Times New Roman" w:hAnsi="Lato" w:cs="Times New Roman"/>
          <w:b/>
          <w:bCs/>
          <w:color w:val="000000"/>
          <w:kern w:val="0"/>
          <w:sz w:val="23"/>
          <w:szCs w:val="23"/>
          <w:lang w:eastAsia="it-IT"/>
          <w14:ligatures w14:val="none"/>
        </w:rPr>
        <w:t xml:space="preserve">dell’art. 13, comma 1, lettera a), numero 2), del </w:t>
      </w:r>
      <w:proofErr w:type="spellStart"/>
      <w:r w:rsidRPr="00A52DF1">
        <w:rPr>
          <w:rFonts w:ascii="Lato" w:eastAsia="Times New Roman" w:hAnsi="Lato" w:cs="Times New Roman"/>
          <w:b/>
          <w:bCs/>
          <w:color w:val="000000"/>
          <w:kern w:val="0"/>
          <w:sz w:val="23"/>
          <w:szCs w:val="23"/>
          <w:lang w:eastAsia="it-IT"/>
          <w14:ligatures w14:val="none"/>
        </w:rPr>
        <w:t>d.l.</w:t>
      </w:r>
      <w:proofErr w:type="spellEnd"/>
      <w:r w:rsidRPr="00A52DF1">
        <w:rPr>
          <w:rFonts w:ascii="Lato" w:eastAsia="Times New Roman" w:hAnsi="Lato" w:cs="Times New Roman"/>
          <w:b/>
          <w:bCs/>
          <w:color w:val="000000"/>
          <w:kern w:val="0"/>
          <w:sz w:val="23"/>
          <w:szCs w:val="23"/>
          <w:lang w:eastAsia="it-IT"/>
          <w14:ligatures w14:val="none"/>
        </w:rPr>
        <w:t xml:space="preserve"> n. 113 del 2018</w:t>
      </w:r>
      <w:r w:rsidRPr="00A52DF1">
        <w:rPr>
          <w:rFonts w:ascii="Lato" w:eastAsia="Times New Roman" w:hAnsi="Lato" w:cs="Times New Roman"/>
          <w:color w:val="000000"/>
          <w:kern w:val="0"/>
          <w:sz w:val="23"/>
          <w:szCs w:val="23"/>
          <w:lang w:eastAsia="it-IT"/>
          <w14:ligatures w14:val="none"/>
        </w:rPr>
        <w:t>], sollevata, in riferimento all’art. 77, secondo comma, della Costituzione, dal Tribunale ordinario di Milano, prima sezione civile, con l’ordinanza indicata in epigrafe.</w:t>
      </w:r>
    </w:p>
    <w:p w14:paraId="0189B40B"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Così deciso in Roma, nella sede della Corte costituzionale, Palazzo della Consulta, il 9 luglio 2020.</w:t>
      </w:r>
    </w:p>
    <w:p w14:paraId="1ACCC11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F.to:</w:t>
      </w:r>
    </w:p>
    <w:p w14:paraId="3C17966C"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Marta CARTABIA, Presidente</w:t>
      </w:r>
    </w:p>
    <w:p w14:paraId="6FF28C21"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Daria de PRETIS, Redattore</w:t>
      </w:r>
    </w:p>
    <w:p w14:paraId="46F6BCE2"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Roberto MILANA, Cancelliere</w:t>
      </w:r>
    </w:p>
    <w:p w14:paraId="02B8FD5A"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Depositata in Cancelleria il 31 luglio 2020.</w:t>
      </w:r>
    </w:p>
    <w:p w14:paraId="0DDC119B" w14:textId="77777777" w:rsidR="00A52DF1" w:rsidRPr="00A52DF1" w:rsidRDefault="00A52DF1" w:rsidP="00A52DF1">
      <w:pPr>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A52DF1">
        <w:rPr>
          <w:rFonts w:ascii="Lato" w:eastAsia="Times New Roman" w:hAnsi="Lato" w:cs="Times New Roman"/>
          <w:color w:val="000000"/>
          <w:kern w:val="0"/>
          <w:sz w:val="23"/>
          <w:szCs w:val="23"/>
          <w:lang w:eastAsia="it-IT"/>
          <w14:ligatures w14:val="none"/>
        </w:rPr>
        <w:t> </w:t>
      </w:r>
    </w:p>
    <w:p w14:paraId="085B3E90" w14:textId="77777777" w:rsidR="004671F7" w:rsidRDefault="004671F7"/>
    <w:sectPr w:rsidR="004671F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7455" w14:textId="77777777" w:rsidR="00320BAE" w:rsidRDefault="00320BAE" w:rsidP="00320BAE">
      <w:r>
        <w:separator/>
      </w:r>
    </w:p>
  </w:endnote>
  <w:endnote w:type="continuationSeparator" w:id="0">
    <w:p w14:paraId="1AB67570" w14:textId="77777777" w:rsidR="00320BAE" w:rsidRDefault="00320BAE" w:rsidP="0032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
    <w:altName w:val="Calibri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12FF" w14:textId="77777777" w:rsidR="00320BAE" w:rsidRDefault="00320BAE" w:rsidP="00320BAE">
      <w:r>
        <w:separator/>
      </w:r>
    </w:p>
  </w:footnote>
  <w:footnote w:type="continuationSeparator" w:id="0">
    <w:p w14:paraId="03C2C8A6" w14:textId="77777777" w:rsidR="00320BAE" w:rsidRDefault="00320BAE" w:rsidP="00320BAE">
      <w:r>
        <w:continuationSeparator/>
      </w:r>
    </w:p>
  </w:footnote>
  <w:footnote w:id="1">
    <w:p w14:paraId="4B6BA827" w14:textId="5761D0ED" w:rsidR="00320BAE" w:rsidRPr="00320BAE" w:rsidRDefault="00320BAE" w:rsidP="00320BAE">
      <w:pPr>
        <w:pStyle w:val="PreformattatoHTML"/>
        <w:rPr>
          <w:rFonts w:ascii="Times New Roman" w:hAnsi="Times New Roman" w:cs="Times New Roman"/>
          <w:color w:val="19191A"/>
          <w:sz w:val="24"/>
          <w:szCs w:val="24"/>
        </w:rPr>
      </w:pPr>
      <w:r w:rsidRPr="00320BAE">
        <w:rPr>
          <w:rStyle w:val="Rimandonotaapidipagina"/>
          <w:rFonts w:ascii="Times New Roman" w:hAnsi="Times New Roman" w:cs="Times New Roman"/>
          <w:sz w:val="24"/>
          <w:szCs w:val="24"/>
        </w:rPr>
        <w:footnoteRef/>
      </w:r>
      <w:r w:rsidRPr="00320BAE">
        <w:rPr>
          <w:rFonts w:ascii="Times New Roman" w:hAnsi="Times New Roman" w:cs="Times New Roman"/>
          <w:sz w:val="24"/>
          <w:szCs w:val="24"/>
        </w:rPr>
        <w:t xml:space="preserve"> </w:t>
      </w:r>
      <w:r w:rsidRPr="00320BAE">
        <w:rPr>
          <w:rFonts w:ascii="Times New Roman" w:hAnsi="Times New Roman" w:cs="Times New Roman"/>
          <w:color w:val="19191A"/>
          <w:sz w:val="24"/>
          <w:szCs w:val="24"/>
        </w:rPr>
        <w:t xml:space="preserve">7. </w:t>
      </w:r>
      <w:proofErr w:type="gramStart"/>
      <w:r>
        <w:rPr>
          <w:rFonts w:ascii="Times New Roman" w:hAnsi="Times New Roman" w:cs="Times New Roman"/>
          <w:color w:val="19191A"/>
          <w:sz w:val="24"/>
          <w:szCs w:val="24"/>
        </w:rPr>
        <w:t>«</w:t>
      </w:r>
      <w:r w:rsidRPr="00320BAE">
        <w:rPr>
          <w:rFonts w:ascii="Times New Roman" w:hAnsi="Times New Roman" w:cs="Times New Roman"/>
          <w:color w:val="19191A"/>
          <w:sz w:val="24"/>
          <w:szCs w:val="24"/>
        </w:rPr>
        <w:t xml:space="preserve"> Le</w:t>
      </w:r>
      <w:proofErr w:type="gramEnd"/>
      <w:r w:rsidRPr="00320BAE">
        <w:rPr>
          <w:rFonts w:ascii="Times New Roman" w:hAnsi="Times New Roman" w:cs="Times New Roman"/>
          <w:color w:val="19191A"/>
          <w:sz w:val="24"/>
          <w:szCs w:val="24"/>
        </w:rPr>
        <w:t xml:space="preserve">  iscrizioni  e  variazioni   anagrafiche   dello   straniero</w:t>
      </w:r>
      <w:r>
        <w:rPr>
          <w:rFonts w:ascii="Times New Roman" w:hAnsi="Times New Roman" w:cs="Times New Roman"/>
          <w:color w:val="19191A"/>
          <w:sz w:val="24"/>
          <w:szCs w:val="24"/>
        </w:rPr>
        <w:t xml:space="preserve"> </w:t>
      </w:r>
      <w:r w:rsidRPr="00320BAE">
        <w:rPr>
          <w:rFonts w:ascii="Times New Roman" w:hAnsi="Times New Roman" w:cs="Times New Roman"/>
          <w:color w:val="19191A"/>
          <w:sz w:val="24"/>
          <w:szCs w:val="24"/>
        </w:rPr>
        <w:t>regolarmente soggiornante sono effettuate  alle  medesime  condizioni</w:t>
      </w:r>
      <w:r>
        <w:rPr>
          <w:rFonts w:ascii="Times New Roman" w:hAnsi="Times New Roman" w:cs="Times New Roman"/>
          <w:color w:val="19191A"/>
          <w:sz w:val="24"/>
          <w:szCs w:val="24"/>
        </w:rPr>
        <w:t xml:space="preserve"> </w:t>
      </w:r>
      <w:r w:rsidRPr="00320BAE">
        <w:rPr>
          <w:rFonts w:ascii="Times New Roman" w:hAnsi="Times New Roman" w:cs="Times New Roman"/>
          <w:color w:val="19191A"/>
          <w:sz w:val="24"/>
          <w:szCs w:val="24"/>
        </w:rPr>
        <w:t>dei cittadini italiani con le modalit</w:t>
      </w:r>
      <w:r>
        <w:rPr>
          <w:rFonts w:ascii="Times New Roman" w:hAnsi="Times New Roman" w:cs="Times New Roman"/>
          <w:color w:val="19191A"/>
          <w:sz w:val="24"/>
          <w:szCs w:val="24"/>
        </w:rPr>
        <w:t>à</w:t>
      </w:r>
      <w:r w:rsidRPr="00320BAE">
        <w:rPr>
          <w:rFonts w:ascii="Times New Roman" w:hAnsi="Times New Roman" w:cs="Times New Roman"/>
          <w:color w:val="19191A"/>
          <w:sz w:val="24"/>
          <w:szCs w:val="24"/>
        </w:rPr>
        <w:t xml:space="preserve"> previste dal  regolamento  di</w:t>
      </w:r>
      <w:r>
        <w:rPr>
          <w:rFonts w:ascii="Times New Roman" w:hAnsi="Times New Roman" w:cs="Times New Roman"/>
          <w:color w:val="19191A"/>
          <w:sz w:val="24"/>
          <w:szCs w:val="24"/>
        </w:rPr>
        <w:t xml:space="preserve"> </w:t>
      </w:r>
      <w:r w:rsidRPr="00320BAE">
        <w:rPr>
          <w:rFonts w:ascii="Times New Roman" w:hAnsi="Times New Roman" w:cs="Times New Roman"/>
          <w:color w:val="19191A"/>
          <w:sz w:val="24"/>
          <w:szCs w:val="24"/>
        </w:rPr>
        <w:t xml:space="preserve">attuazione. In ogni </w:t>
      </w:r>
      <w:proofErr w:type="gramStart"/>
      <w:r w:rsidRPr="00320BAE">
        <w:rPr>
          <w:rFonts w:ascii="Times New Roman" w:hAnsi="Times New Roman" w:cs="Times New Roman"/>
          <w:color w:val="19191A"/>
          <w:sz w:val="24"/>
          <w:szCs w:val="24"/>
        </w:rPr>
        <w:t>caso  la</w:t>
      </w:r>
      <w:proofErr w:type="gramEnd"/>
      <w:r w:rsidRPr="00320BAE">
        <w:rPr>
          <w:rFonts w:ascii="Times New Roman" w:hAnsi="Times New Roman" w:cs="Times New Roman"/>
          <w:color w:val="19191A"/>
          <w:sz w:val="24"/>
          <w:szCs w:val="24"/>
        </w:rPr>
        <w:t xml:space="preserve">  dimora  dello  straniero  si  considera</w:t>
      </w:r>
      <w:r>
        <w:rPr>
          <w:rFonts w:ascii="Times New Roman" w:hAnsi="Times New Roman" w:cs="Times New Roman"/>
          <w:color w:val="19191A"/>
          <w:sz w:val="24"/>
          <w:szCs w:val="24"/>
        </w:rPr>
        <w:t xml:space="preserve"> </w:t>
      </w:r>
      <w:r w:rsidRPr="00320BAE">
        <w:rPr>
          <w:rFonts w:ascii="Times New Roman" w:hAnsi="Times New Roman" w:cs="Times New Roman"/>
          <w:color w:val="19191A"/>
          <w:sz w:val="24"/>
          <w:szCs w:val="24"/>
        </w:rPr>
        <w:t>abituale anche in caso di documentata ospitalit</w:t>
      </w:r>
      <w:r>
        <w:rPr>
          <w:rFonts w:ascii="Times New Roman" w:hAnsi="Times New Roman" w:cs="Times New Roman"/>
          <w:color w:val="19191A"/>
        </w:rPr>
        <w:t xml:space="preserve">à </w:t>
      </w:r>
      <w:r w:rsidRPr="00320BAE">
        <w:rPr>
          <w:rFonts w:ascii="Times New Roman" w:hAnsi="Times New Roman" w:cs="Times New Roman"/>
          <w:color w:val="19191A"/>
          <w:sz w:val="24"/>
          <w:szCs w:val="24"/>
        </w:rPr>
        <w:t>da pi</w:t>
      </w:r>
      <w:r>
        <w:rPr>
          <w:rFonts w:ascii="Times New Roman" w:hAnsi="Times New Roman" w:cs="Times New Roman"/>
          <w:color w:val="19191A"/>
        </w:rPr>
        <w:t>ù</w:t>
      </w:r>
      <w:r w:rsidRPr="00320BAE">
        <w:rPr>
          <w:rFonts w:ascii="Times New Roman" w:hAnsi="Times New Roman" w:cs="Times New Roman"/>
          <w:color w:val="19191A"/>
          <w:sz w:val="24"/>
          <w:szCs w:val="24"/>
        </w:rPr>
        <w:t xml:space="preserve"> di tre mesi</w:t>
      </w:r>
      <w:r>
        <w:rPr>
          <w:rFonts w:ascii="Times New Roman" w:hAnsi="Times New Roman" w:cs="Times New Roman"/>
          <w:color w:val="19191A"/>
          <w:sz w:val="24"/>
          <w:szCs w:val="24"/>
        </w:rPr>
        <w:t xml:space="preserve"> </w:t>
      </w:r>
      <w:r w:rsidRPr="00320BAE">
        <w:rPr>
          <w:rFonts w:ascii="Times New Roman" w:hAnsi="Times New Roman" w:cs="Times New Roman"/>
          <w:color w:val="19191A"/>
          <w:sz w:val="24"/>
          <w:szCs w:val="24"/>
        </w:rPr>
        <w:t>presso  un  centro  di  accoglienza.   Dell'avvenuta   iscrizione   o</w:t>
      </w:r>
      <w:r>
        <w:rPr>
          <w:rFonts w:ascii="Times New Roman" w:hAnsi="Times New Roman" w:cs="Times New Roman"/>
          <w:color w:val="19191A"/>
          <w:sz w:val="24"/>
          <w:szCs w:val="24"/>
        </w:rPr>
        <w:t xml:space="preserve"> </w:t>
      </w:r>
      <w:r w:rsidRPr="00320BAE">
        <w:rPr>
          <w:rFonts w:ascii="Times New Roman" w:hAnsi="Times New Roman" w:cs="Times New Roman"/>
          <w:color w:val="19191A"/>
          <w:sz w:val="24"/>
          <w:szCs w:val="24"/>
        </w:rPr>
        <w:t>variazione l'ufficio da' comunicazione alla questura territorialmente</w:t>
      </w:r>
    </w:p>
    <w:p w14:paraId="7C1EADDE" w14:textId="2BD90DA8" w:rsidR="00320BAE" w:rsidRPr="00320BAE" w:rsidRDefault="00320BAE" w:rsidP="0032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9191A"/>
          <w:kern w:val="0"/>
          <w:lang w:eastAsia="it-IT"/>
          <w14:ligatures w14:val="none"/>
        </w:rPr>
      </w:pPr>
      <w:r w:rsidRPr="00320BAE">
        <w:rPr>
          <w:rFonts w:ascii="Times New Roman" w:eastAsia="Times New Roman" w:hAnsi="Times New Roman" w:cs="Times New Roman"/>
          <w:color w:val="19191A"/>
          <w:kern w:val="0"/>
          <w:lang w:eastAsia="it-IT"/>
          <w14:ligatures w14:val="none"/>
        </w:rPr>
        <w:t>competente</w:t>
      </w:r>
      <w:r>
        <w:rPr>
          <w:rFonts w:ascii="Times New Roman" w:eastAsia="Times New Roman" w:hAnsi="Times New Roman" w:cs="Times New Roman"/>
          <w:color w:val="19191A"/>
          <w:kern w:val="0"/>
          <w:lang w:eastAsia="it-IT"/>
          <w14:ligatures w14:val="none"/>
        </w:rPr>
        <w:t>».</w:t>
      </w:r>
    </w:p>
    <w:p w14:paraId="5FE73B41" w14:textId="40010559" w:rsidR="00320BAE" w:rsidRDefault="00320BAE">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F1"/>
    <w:rsid w:val="00320BAE"/>
    <w:rsid w:val="004671F7"/>
    <w:rsid w:val="00A52DF1"/>
    <w:rsid w:val="00D129ED"/>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BFCEB45"/>
  <w15:chartTrackingRefBased/>
  <w15:docId w15:val="{B3652956-7E78-2D48-9438-50EA71FE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52DF1"/>
  </w:style>
  <w:style w:type="character" w:customStyle="1" w:styleId="spelle">
    <w:name w:val="spelle"/>
    <w:basedOn w:val="Carpredefinitoparagrafo"/>
    <w:rsid w:val="00A52DF1"/>
  </w:style>
  <w:style w:type="character" w:styleId="Collegamentoipertestuale">
    <w:name w:val="Hyperlink"/>
    <w:basedOn w:val="Carpredefinitoparagrafo"/>
    <w:uiPriority w:val="99"/>
    <w:semiHidden/>
    <w:unhideWhenUsed/>
    <w:rsid w:val="00A52DF1"/>
    <w:rPr>
      <w:color w:val="0000FF"/>
      <w:u w:val="single"/>
    </w:rPr>
  </w:style>
  <w:style w:type="character" w:styleId="Enfasicorsivo">
    <w:name w:val="Emphasis"/>
    <w:basedOn w:val="Carpredefinitoparagrafo"/>
    <w:uiPriority w:val="20"/>
    <w:qFormat/>
    <w:rsid w:val="00A52DF1"/>
    <w:rPr>
      <w:i/>
      <w:iCs/>
    </w:rPr>
  </w:style>
  <w:style w:type="character" w:styleId="Enfasigrassetto">
    <w:name w:val="Strong"/>
    <w:basedOn w:val="Carpredefinitoparagrafo"/>
    <w:uiPriority w:val="22"/>
    <w:qFormat/>
    <w:rsid w:val="00A52DF1"/>
    <w:rPr>
      <w:b/>
      <w:bCs/>
    </w:rPr>
  </w:style>
  <w:style w:type="paragraph" w:styleId="Testonotaapidipagina">
    <w:name w:val="footnote text"/>
    <w:basedOn w:val="Normale"/>
    <w:link w:val="TestonotaapidipaginaCarattere"/>
    <w:uiPriority w:val="99"/>
    <w:semiHidden/>
    <w:unhideWhenUsed/>
    <w:rsid w:val="00320BAE"/>
    <w:rPr>
      <w:sz w:val="20"/>
      <w:szCs w:val="20"/>
    </w:rPr>
  </w:style>
  <w:style w:type="character" w:customStyle="1" w:styleId="TestonotaapidipaginaCarattere">
    <w:name w:val="Testo nota a piè di pagina Carattere"/>
    <w:basedOn w:val="Carpredefinitoparagrafo"/>
    <w:link w:val="Testonotaapidipagina"/>
    <w:uiPriority w:val="99"/>
    <w:semiHidden/>
    <w:rsid w:val="00320BAE"/>
    <w:rPr>
      <w:sz w:val="20"/>
      <w:szCs w:val="20"/>
    </w:rPr>
  </w:style>
  <w:style w:type="character" w:styleId="Rimandonotaapidipagina">
    <w:name w:val="footnote reference"/>
    <w:basedOn w:val="Carpredefinitoparagrafo"/>
    <w:uiPriority w:val="99"/>
    <w:semiHidden/>
    <w:unhideWhenUsed/>
    <w:rsid w:val="00320BAE"/>
    <w:rPr>
      <w:vertAlign w:val="superscript"/>
    </w:rPr>
  </w:style>
  <w:style w:type="paragraph" w:styleId="PreformattatoHTML">
    <w:name w:val="HTML Preformatted"/>
    <w:basedOn w:val="Normale"/>
    <w:link w:val="PreformattatoHTMLCarattere"/>
    <w:uiPriority w:val="99"/>
    <w:unhideWhenUsed/>
    <w:rsid w:val="0032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rsid w:val="00320BAE"/>
    <w:rPr>
      <w:rFonts w:ascii="Courier New" w:eastAsia="Times New Roman" w:hAnsi="Courier New" w:cs="Courier New"/>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36400">
      <w:bodyDiv w:val="1"/>
      <w:marLeft w:val="0"/>
      <w:marRight w:val="0"/>
      <w:marTop w:val="0"/>
      <w:marBottom w:val="0"/>
      <w:divBdr>
        <w:top w:val="none" w:sz="0" w:space="0" w:color="auto"/>
        <w:left w:val="none" w:sz="0" w:space="0" w:color="auto"/>
        <w:bottom w:val="none" w:sz="0" w:space="0" w:color="auto"/>
        <w:right w:val="none" w:sz="0" w:space="0" w:color="auto"/>
      </w:divBdr>
    </w:div>
    <w:div w:id="19594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urcost.org/decisioni/1974/0244s-74.html" TargetMode="External"/><Relationship Id="rId18" Type="http://schemas.openxmlformats.org/officeDocument/2006/relationships/hyperlink" Target="https://giurcost.org/decisioni/2005/0432s-05.html" TargetMode="External"/><Relationship Id="rId26" Type="http://schemas.openxmlformats.org/officeDocument/2006/relationships/hyperlink" Target="https://giurcost.org/decisioni/2013/0202s-13.html" TargetMode="External"/><Relationship Id="rId39" Type="http://schemas.openxmlformats.org/officeDocument/2006/relationships/hyperlink" Target="https://giurcost.org/decisioni/2001/0105s-01.html" TargetMode="External"/><Relationship Id="rId21" Type="http://schemas.openxmlformats.org/officeDocument/2006/relationships/hyperlink" Target="https://giurcost.org/decisioni/2018/0166s-18.html" TargetMode="External"/><Relationship Id="rId34" Type="http://schemas.openxmlformats.org/officeDocument/2006/relationships/hyperlink" Target="https://giurcost.org/decisioni/2008/0306s-08.html" TargetMode="External"/><Relationship Id="rId42" Type="http://schemas.openxmlformats.org/officeDocument/2006/relationships/hyperlink" Target="https://giurcost.org/decisioni/1979/0054s-79.html" TargetMode="External"/><Relationship Id="rId47" Type="http://schemas.openxmlformats.org/officeDocument/2006/relationships/hyperlink" Target="https://giurcost.org/decisioni/1967/0120s-67.html" TargetMode="External"/><Relationship Id="rId7" Type="http://schemas.openxmlformats.org/officeDocument/2006/relationships/hyperlink" Target="https://giurcost.org/decisioni/1967/0120s-67.html" TargetMode="External"/><Relationship Id="rId2" Type="http://schemas.openxmlformats.org/officeDocument/2006/relationships/styles" Target="styles.xml"/><Relationship Id="rId16" Type="http://schemas.openxmlformats.org/officeDocument/2006/relationships/hyperlink" Target="https://giurcost.org/decisioni/1987/0503o-87.html" TargetMode="External"/><Relationship Id="rId29" Type="http://schemas.openxmlformats.org/officeDocument/2006/relationships/hyperlink" Target="https://giurcost.org/decisioni/2013/0002s-13.html" TargetMode="External"/><Relationship Id="rId11" Type="http://schemas.openxmlformats.org/officeDocument/2006/relationships/hyperlink" Target="https://giurcost.org/decisioni/1970/0144s-70.html" TargetMode="External"/><Relationship Id="rId24" Type="http://schemas.openxmlformats.org/officeDocument/2006/relationships/hyperlink" Target="https://giurcost.org/decisioni/2015/0022s-15.html" TargetMode="External"/><Relationship Id="rId32" Type="http://schemas.openxmlformats.org/officeDocument/2006/relationships/hyperlink" Target="https://giurcost.org/decisioni/2011/0061s-11.html" TargetMode="External"/><Relationship Id="rId37" Type="http://schemas.openxmlformats.org/officeDocument/2006/relationships/hyperlink" Target="https://giurcost.org/decisioni/2005/0432s-05.html" TargetMode="External"/><Relationship Id="rId40" Type="http://schemas.openxmlformats.org/officeDocument/2006/relationships/hyperlink" Target="https://giurcost.org/decisioni/1997/0203s-97.html" TargetMode="External"/><Relationship Id="rId45" Type="http://schemas.openxmlformats.org/officeDocument/2006/relationships/hyperlink" Target="https://giurcost.org/decisioni/1970/0144s-70.html" TargetMode="External"/><Relationship Id="rId5" Type="http://schemas.openxmlformats.org/officeDocument/2006/relationships/footnotes" Target="footnotes.xml"/><Relationship Id="rId15" Type="http://schemas.openxmlformats.org/officeDocument/2006/relationships/hyperlink" Target="https://giurcost.org/decisioni/2011/0245s-11.html" TargetMode="External"/><Relationship Id="rId23" Type="http://schemas.openxmlformats.org/officeDocument/2006/relationships/hyperlink" Target="https://giurcost.org/decisioni/2015/0119s-15.html" TargetMode="External"/><Relationship Id="rId28" Type="http://schemas.openxmlformats.org/officeDocument/2006/relationships/hyperlink" Target="https://giurcost.org/decisioni/2013/0040s-13.html" TargetMode="External"/><Relationship Id="rId36" Type="http://schemas.openxmlformats.org/officeDocument/2006/relationships/hyperlink" Target="https://giurcost.org/decisioni/2006/0324s-06.html" TargetMode="External"/><Relationship Id="rId49" Type="http://schemas.openxmlformats.org/officeDocument/2006/relationships/theme" Target="theme/theme1.xml"/><Relationship Id="rId10" Type="http://schemas.openxmlformats.org/officeDocument/2006/relationships/hyperlink" Target="https://giurcost.org/decisioni/1969/0104s-69.html" TargetMode="External"/><Relationship Id="rId19" Type="http://schemas.openxmlformats.org/officeDocument/2006/relationships/hyperlink" Target="https://giurcost.org/decisioni/1969/0104s-69.html" TargetMode="External"/><Relationship Id="rId31" Type="http://schemas.openxmlformats.org/officeDocument/2006/relationships/hyperlink" Target="https://giurcost.org/decisioni/2011/0245s-11.html" TargetMode="External"/><Relationship Id="rId44" Type="http://schemas.openxmlformats.org/officeDocument/2006/relationships/hyperlink" Target="https://giurcost.org/decisioni/1974/0177s-74.html" TargetMode="External"/><Relationship Id="rId4" Type="http://schemas.openxmlformats.org/officeDocument/2006/relationships/webSettings" Target="webSettings.xml"/><Relationship Id="rId9" Type="http://schemas.openxmlformats.org/officeDocument/2006/relationships/hyperlink" Target="https://giurcost.org/decisioni/1967/0120s-67.html" TargetMode="External"/><Relationship Id="rId14" Type="http://schemas.openxmlformats.org/officeDocument/2006/relationships/hyperlink" Target="https://giurcost.org/decisioni/1994/0062s-94.html" TargetMode="External"/><Relationship Id="rId22" Type="http://schemas.openxmlformats.org/officeDocument/2006/relationships/hyperlink" Target="https://giurcost.org/decisioni/2015/0230s-15.html" TargetMode="External"/><Relationship Id="rId27" Type="http://schemas.openxmlformats.org/officeDocument/2006/relationships/hyperlink" Target="https://giurcost.org/decisioni/2013/0172s-13.html" TargetMode="External"/><Relationship Id="rId30" Type="http://schemas.openxmlformats.org/officeDocument/2006/relationships/hyperlink" Target="https://giurcost.org/decisioni/2012/0172s-12.html" TargetMode="External"/><Relationship Id="rId35" Type="http://schemas.openxmlformats.org/officeDocument/2006/relationships/hyperlink" Target="https://giurcost.org/decisioni/2008/0148s-08.html" TargetMode="External"/><Relationship Id="rId43" Type="http://schemas.openxmlformats.org/officeDocument/2006/relationships/hyperlink" Target="https://giurcost.org/decisioni/1974/0244s-74.html" TargetMode="External"/><Relationship Id="rId48" Type="http://schemas.openxmlformats.org/officeDocument/2006/relationships/fontTable" Target="fontTable.xml"/><Relationship Id="rId8" Type="http://schemas.openxmlformats.org/officeDocument/2006/relationships/hyperlink" Target="https://giurcost.org/decisioni/2005/0432s-05.html" TargetMode="External"/><Relationship Id="rId3" Type="http://schemas.openxmlformats.org/officeDocument/2006/relationships/settings" Target="settings.xml"/><Relationship Id="rId12" Type="http://schemas.openxmlformats.org/officeDocument/2006/relationships/hyperlink" Target="https://giurcost.org/decisioni/1974/0177s-74.html" TargetMode="External"/><Relationship Id="rId17" Type="http://schemas.openxmlformats.org/officeDocument/2006/relationships/hyperlink" Target="https://giurcost.org/decisioni/1988/0490o-88.html" TargetMode="External"/><Relationship Id="rId25" Type="http://schemas.openxmlformats.org/officeDocument/2006/relationships/hyperlink" Target="https://giurcost.org/decisioni/2013/0309s-13.html" TargetMode="External"/><Relationship Id="rId33" Type="http://schemas.openxmlformats.org/officeDocument/2006/relationships/hyperlink" Target="https://giurcost.org/decisioni/2010/0187s-10.html" TargetMode="External"/><Relationship Id="rId38" Type="http://schemas.openxmlformats.org/officeDocument/2006/relationships/hyperlink" Target="https://giurcost.org/decisioni/2001/0252s-01.html" TargetMode="External"/><Relationship Id="rId46" Type="http://schemas.openxmlformats.org/officeDocument/2006/relationships/hyperlink" Target="https://giurcost.org/decisioni/1969/0104s-69.html" TargetMode="External"/><Relationship Id="rId20" Type="http://schemas.openxmlformats.org/officeDocument/2006/relationships/hyperlink" Target="https://giurcost.org/decisioni/2010/0249s-10.html" TargetMode="External"/><Relationship Id="rId41" Type="http://schemas.openxmlformats.org/officeDocument/2006/relationships/hyperlink" Target="https://giurcost.org/decisioni/1994/0062s-94.html"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C00DA-15FC-7249-B612-57A3043A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3166</Words>
  <Characters>18052</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2023-10-13T15:33:00Z</dcterms:created>
  <dcterms:modified xsi:type="dcterms:W3CDTF">2023-10-13T15:46:00Z</dcterms:modified>
</cp:coreProperties>
</file>