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3DDD3" w14:textId="2D8A26D3" w:rsidR="000F257E" w:rsidRPr="000F257E" w:rsidRDefault="000F257E" w:rsidP="000F257E">
      <w:pPr>
        <w:shd w:val="clear" w:color="auto" w:fill="FFFFFF"/>
        <w:spacing w:after="150"/>
        <w:ind w:firstLine="300"/>
        <w:jc w:val="center"/>
        <w:rPr>
          <w:rFonts w:ascii="Lato" w:eastAsia="Times New Roman" w:hAnsi="Lato" w:cs="Times New Roman"/>
          <w:b/>
          <w:bCs/>
          <w:color w:val="000000"/>
          <w:kern w:val="0"/>
          <w:sz w:val="23"/>
          <w:szCs w:val="23"/>
          <w:lang w:eastAsia="it-IT"/>
          <w14:ligatures w14:val="none"/>
        </w:rPr>
      </w:pPr>
      <w:r w:rsidRPr="000F257E">
        <w:rPr>
          <w:rFonts w:ascii="Lato" w:eastAsia="Times New Roman" w:hAnsi="Lato" w:cs="Times New Roman"/>
          <w:b/>
          <w:bCs/>
          <w:color w:val="000000"/>
          <w:kern w:val="0"/>
          <w:sz w:val="23"/>
          <w:szCs w:val="23"/>
          <w:lang w:eastAsia="it-IT"/>
          <w14:ligatures w14:val="none"/>
        </w:rPr>
        <w:t>109/1993</w:t>
      </w:r>
    </w:p>
    <w:p w14:paraId="04EB9BE2" w14:textId="2312B844" w:rsidR="000F257E" w:rsidRPr="000F257E" w:rsidRDefault="000F257E" w:rsidP="000F257E">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i/>
          <w:iCs/>
          <w:color w:val="000000"/>
          <w:kern w:val="0"/>
          <w:sz w:val="23"/>
          <w:szCs w:val="23"/>
          <w:lang w:eastAsia="it-IT"/>
          <w14:ligatures w14:val="none"/>
        </w:rPr>
        <w:t>Considerato in diritto</w:t>
      </w:r>
    </w:p>
    <w:p w14:paraId="5DC7D5C9" w14:textId="63D9E15E"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xml:space="preserve">l.- Le questioni di legittimità costituzionale sottoposte al giudizio di questa Corte, le quali investono varie disposizioni contenute nella legge 25 febbraio 1992, n. 215 (Azioni positive per l'imprenditoria femminile), sono state sollevate da due distinti </w:t>
      </w:r>
      <w:r w:rsidRPr="000F257E">
        <w:rPr>
          <w:rFonts w:ascii="Lato" w:eastAsia="Times New Roman" w:hAnsi="Lato" w:cs="Times New Roman"/>
          <w:color w:val="FF0000"/>
          <w:kern w:val="0"/>
          <w:sz w:val="23"/>
          <w:szCs w:val="23"/>
          <w:lang w:eastAsia="it-IT"/>
          <w14:ligatures w14:val="none"/>
        </w:rPr>
        <w:t>ricorsi</w:t>
      </w:r>
      <w:r w:rsidRPr="000F257E">
        <w:rPr>
          <w:rFonts w:ascii="Lato" w:eastAsia="Times New Roman" w:hAnsi="Lato" w:cs="Times New Roman"/>
          <w:color w:val="000000"/>
          <w:kern w:val="0"/>
          <w:sz w:val="23"/>
          <w:szCs w:val="23"/>
          <w:lang w:eastAsia="it-IT"/>
          <w14:ligatures w14:val="none"/>
        </w:rPr>
        <w:t xml:space="preserve"> regolarmen</w:t>
      </w:r>
      <w:r w:rsidR="00AD63A7">
        <w:rPr>
          <w:rFonts w:ascii="Lato" w:eastAsia="Times New Roman" w:hAnsi="Lato" w:cs="Times New Roman"/>
          <w:color w:val="000000"/>
          <w:kern w:val="0"/>
          <w:sz w:val="23"/>
          <w:szCs w:val="23"/>
          <w:lang w:eastAsia="it-IT"/>
          <w14:ligatures w14:val="none"/>
        </w:rPr>
        <w:t>t</w:t>
      </w:r>
      <w:r w:rsidRPr="000F257E">
        <w:rPr>
          <w:rFonts w:ascii="Lato" w:eastAsia="Times New Roman" w:hAnsi="Lato" w:cs="Times New Roman"/>
          <w:color w:val="000000"/>
          <w:kern w:val="0"/>
          <w:sz w:val="23"/>
          <w:szCs w:val="23"/>
          <w:lang w:eastAsia="it-IT"/>
          <w14:ligatures w14:val="none"/>
        </w:rPr>
        <w:t xml:space="preserve">e notificati e depositati dalla </w:t>
      </w:r>
      <w:r w:rsidRPr="000F257E">
        <w:rPr>
          <w:rFonts w:ascii="Lato" w:eastAsia="Times New Roman" w:hAnsi="Lato" w:cs="Times New Roman"/>
          <w:color w:val="FF0000"/>
          <w:kern w:val="0"/>
          <w:sz w:val="23"/>
          <w:szCs w:val="23"/>
          <w:lang w:eastAsia="it-IT"/>
          <w14:ligatures w14:val="none"/>
        </w:rPr>
        <w:t>Provincia autonoma di Trento e dalla Regione Lombardia</w:t>
      </w:r>
      <w:r w:rsidRPr="000F257E">
        <w:rPr>
          <w:rFonts w:ascii="Lato" w:eastAsia="Times New Roman" w:hAnsi="Lato" w:cs="Times New Roman"/>
          <w:color w:val="000000"/>
          <w:kern w:val="0"/>
          <w:sz w:val="23"/>
          <w:szCs w:val="23"/>
          <w:lang w:eastAsia="it-IT"/>
          <w14:ligatures w14:val="none"/>
        </w:rPr>
        <w:t>.</w:t>
      </w:r>
    </w:p>
    <w:p w14:paraId="5661720F"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Con il primo dei menzionati ricorsi la Provincia ricorrente contesta la legittimità costituzionale degli artt. 2, 3, 4, 6 e 8 della legge n. 215 del 1992, ritenendo che le disposizioni ivi contenute si pongano in contrasto con:</w:t>
      </w:r>
    </w:p>
    <w:p w14:paraId="736194D2"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xml:space="preserve">a) le competenze di tipo esclusivo attribuite alla stessa Provincia dall'art. 8, </w:t>
      </w:r>
      <w:proofErr w:type="spellStart"/>
      <w:r w:rsidRPr="000F257E">
        <w:rPr>
          <w:rFonts w:ascii="Lato" w:eastAsia="Times New Roman" w:hAnsi="Lato" w:cs="Times New Roman"/>
          <w:color w:val="000000"/>
          <w:kern w:val="0"/>
          <w:sz w:val="23"/>
          <w:szCs w:val="23"/>
          <w:lang w:eastAsia="it-IT"/>
          <w14:ligatures w14:val="none"/>
        </w:rPr>
        <w:t>nn</w:t>
      </w:r>
      <w:proofErr w:type="spellEnd"/>
      <w:r w:rsidRPr="000F257E">
        <w:rPr>
          <w:rFonts w:ascii="Lato" w:eastAsia="Times New Roman" w:hAnsi="Lato" w:cs="Times New Roman"/>
          <w:color w:val="000000"/>
          <w:kern w:val="0"/>
          <w:sz w:val="23"/>
          <w:szCs w:val="23"/>
          <w:lang w:eastAsia="it-IT"/>
          <w14:ligatures w14:val="none"/>
        </w:rPr>
        <w:t>. 9 (artigianato), 18 (comunicazioni e trasporti d'interesse provinciale), 20 (turismo e industria alberghiera), 21 (agricoltura e foreste) e 29 (addestramento e formazione professionale) dello Statuto speciale per il Trentino-Alto Adige (d.P.R. 31 agosto 1972, n. 670) e relative norme di attuazione;</w:t>
      </w:r>
    </w:p>
    <w:p w14:paraId="0197214C"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xml:space="preserve">b) le competenze di tipo concorrente assicurate alla Provincia medesima dall'art. 9, </w:t>
      </w:r>
      <w:proofErr w:type="spellStart"/>
      <w:r w:rsidRPr="000F257E">
        <w:rPr>
          <w:rFonts w:ascii="Lato" w:eastAsia="Times New Roman" w:hAnsi="Lato" w:cs="Times New Roman"/>
          <w:color w:val="000000"/>
          <w:kern w:val="0"/>
          <w:sz w:val="23"/>
          <w:szCs w:val="23"/>
          <w:lang w:eastAsia="it-IT"/>
          <w14:ligatures w14:val="none"/>
        </w:rPr>
        <w:t>nn</w:t>
      </w:r>
      <w:proofErr w:type="spellEnd"/>
      <w:r w:rsidRPr="000F257E">
        <w:rPr>
          <w:rFonts w:ascii="Lato" w:eastAsia="Times New Roman" w:hAnsi="Lato" w:cs="Times New Roman"/>
          <w:color w:val="000000"/>
          <w:kern w:val="0"/>
          <w:sz w:val="23"/>
          <w:szCs w:val="23"/>
          <w:lang w:eastAsia="it-IT"/>
          <w14:ligatures w14:val="none"/>
        </w:rPr>
        <w:t>. 3 (commercio), 7 (esercizi pubblici) e 8 (incremento della produzione industriale) del citato Statuto speciale e relative norme di attuazione;</w:t>
      </w:r>
    </w:p>
    <w:p w14:paraId="1DE50E65"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c) le competenze di natura amministrativa attribuite alla ricorrente sulle materie indicate nelle lettere precedenti in virtù dell'art. 16 del ricordato Statuto speciale;</w:t>
      </w:r>
    </w:p>
    <w:p w14:paraId="7765EB7E"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d) la speciale attribuzione assegnata alla Provincia dall'art.15 del citato Statuto speciale in ordine alle quote degli stanziamenti annuali iscritti nel bilancio dello Stato per l'attuazione di leggi statali che prevedono interventi finanziari a favore dell'incremento delle attività industriali.</w:t>
      </w:r>
    </w:p>
    <w:p w14:paraId="1C082BF6"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Con il medesimo ricorso, la Provincia autonoma di Trento contesta altresì la legittimità costituzionale dell'art. 12 della legge n.215 del 1992, deducendone il contrasto con la propria autonomia organizzativa e con il principio posto dall'art. 81, quarto comma, della Costituzione, in base al quale ogni legge che comporti nuove spese deve contestualmente prevedere i mezzi finanziari per farvi fronte.</w:t>
      </w:r>
    </w:p>
    <w:p w14:paraId="008B3CBC"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Con il secondo ricorso la Regione Lombardia ha contestato la legittimità costituzionale degli artt. 2, 3, 4, 6 e 8 della legge n. 215 del 1992, deducendo la violazione degli artt. 117 e 118 (competenze legislative e amministrative in materia di turismo e industria alberghiera, trasporti d'interesse regionale, istruzione artigiana e professionale, agricoltura e foreste, artigianato) e del- l'art. 119 (autonomia finanziaria). Anche la Regione Lombardia contesta la legittimità costituzionale dell'art. 12, deducendo la violazione della propria autonomia organizzativa e dell'art.81, quarto comma, della Costituzione, in connessione con l'art. 109 del d.P.R. 24 luglio 1977, n. 616, l'art. 27 della legge 5 agosto 1978, n. 468 e l'art. 3, sesto comma, della legge 14 giugno 1990, n. 158.</w:t>
      </w:r>
    </w:p>
    <w:p w14:paraId="78A5ACE5"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proofErr w:type="spellStart"/>
      <w:r w:rsidRPr="000F257E">
        <w:rPr>
          <w:rFonts w:ascii="Lato" w:eastAsia="Times New Roman" w:hAnsi="Lato" w:cs="Times New Roman"/>
          <w:color w:val="000000"/>
          <w:kern w:val="0"/>
          <w:sz w:val="23"/>
          <w:szCs w:val="23"/>
          <w:lang w:eastAsia="it-IT"/>
          <w14:ligatures w14:val="none"/>
        </w:rPr>
        <w:t>Poichè</w:t>
      </w:r>
      <w:proofErr w:type="spellEnd"/>
      <w:r w:rsidRPr="000F257E">
        <w:rPr>
          <w:rFonts w:ascii="Lato" w:eastAsia="Times New Roman" w:hAnsi="Lato" w:cs="Times New Roman"/>
          <w:color w:val="000000"/>
          <w:kern w:val="0"/>
          <w:sz w:val="23"/>
          <w:szCs w:val="23"/>
          <w:lang w:eastAsia="it-IT"/>
          <w14:ligatures w14:val="none"/>
        </w:rPr>
        <w:t xml:space="preserve"> i </w:t>
      </w:r>
      <w:proofErr w:type="gramStart"/>
      <w:r w:rsidRPr="000F257E">
        <w:rPr>
          <w:rFonts w:ascii="Lato" w:eastAsia="Times New Roman" w:hAnsi="Lato" w:cs="Times New Roman"/>
          <w:color w:val="000000"/>
          <w:kern w:val="0"/>
          <w:sz w:val="23"/>
          <w:szCs w:val="23"/>
          <w:lang w:eastAsia="it-IT"/>
          <w14:ligatures w14:val="none"/>
        </w:rPr>
        <w:t>predetti</w:t>
      </w:r>
      <w:proofErr w:type="gramEnd"/>
      <w:r w:rsidRPr="000F257E">
        <w:rPr>
          <w:rFonts w:ascii="Lato" w:eastAsia="Times New Roman" w:hAnsi="Lato" w:cs="Times New Roman"/>
          <w:color w:val="000000"/>
          <w:kern w:val="0"/>
          <w:sz w:val="23"/>
          <w:szCs w:val="23"/>
          <w:lang w:eastAsia="it-IT"/>
          <w14:ligatures w14:val="none"/>
        </w:rPr>
        <w:t xml:space="preserve"> ricorsi prospettano questioni di legittimità costituzionale identiche o connesse, i relativi giudizi vanno decisi con un'unica sentenza.</w:t>
      </w:r>
    </w:p>
    <w:p w14:paraId="06E6BAAB"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xml:space="preserve">2.- Una prima censura riguarda gli artt. 2, 4 e 8 della legge n. 215 del 1992, i quali determinano, rispettivamente, i soggetti che possono accedere ai benefici disposti dalla </w:t>
      </w:r>
      <w:proofErr w:type="gramStart"/>
      <w:r w:rsidRPr="000F257E">
        <w:rPr>
          <w:rFonts w:ascii="Lato" w:eastAsia="Times New Roman" w:hAnsi="Lato" w:cs="Times New Roman"/>
          <w:color w:val="000000"/>
          <w:kern w:val="0"/>
          <w:sz w:val="23"/>
          <w:szCs w:val="23"/>
          <w:lang w:eastAsia="it-IT"/>
          <w14:ligatures w14:val="none"/>
        </w:rPr>
        <w:t>predetta</w:t>
      </w:r>
      <w:proofErr w:type="gramEnd"/>
      <w:r w:rsidRPr="000F257E">
        <w:rPr>
          <w:rFonts w:ascii="Lato" w:eastAsia="Times New Roman" w:hAnsi="Lato" w:cs="Times New Roman"/>
          <w:color w:val="000000"/>
          <w:kern w:val="0"/>
          <w:sz w:val="23"/>
          <w:szCs w:val="23"/>
          <w:lang w:eastAsia="it-IT"/>
          <w14:ligatures w14:val="none"/>
        </w:rPr>
        <w:t xml:space="preserve"> legge (art. 2) e le agevolazioni previste al fine di incentivare la promozione di nuove imprenditorialità femminili e di permettere l'acquisizione di servizi reali da parte dei soggetti precedentemente indicati (artt. 4 e 8). Ad avviso delle ricorrenti, le disposizioni contenute nei </w:t>
      </w:r>
      <w:proofErr w:type="gramStart"/>
      <w:r w:rsidRPr="000F257E">
        <w:rPr>
          <w:rFonts w:ascii="Lato" w:eastAsia="Times New Roman" w:hAnsi="Lato" w:cs="Times New Roman"/>
          <w:color w:val="000000"/>
          <w:kern w:val="0"/>
          <w:sz w:val="23"/>
          <w:szCs w:val="23"/>
          <w:lang w:eastAsia="it-IT"/>
          <w14:ligatures w14:val="none"/>
        </w:rPr>
        <w:t>predetti</w:t>
      </w:r>
      <w:proofErr w:type="gramEnd"/>
      <w:r w:rsidRPr="000F257E">
        <w:rPr>
          <w:rFonts w:ascii="Lato" w:eastAsia="Times New Roman" w:hAnsi="Lato" w:cs="Times New Roman"/>
          <w:color w:val="000000"/>
          <w:kern w:val="0"/>
          <w:sz w:val="23"/>
          <w:szCs w:val="23"/>
          <w:lang w:eastAsia="it-IT"/>
          <w14:ligatures w14:val="none"/>
        </w:rPr>
        <w:t xml:space="preserve"> articoli sembrano contrastare con le norme costituzionali ricordate nel precedente punto della motivazione, dal momento che individuerebbero le agevolazioni finanziarie e i relativi possibili beneficiari in </w:t>
      </w:r>
      <w:r w:rsidRPr="000F257E">
        <w:rPr>
          <w:rFonts w:ascii="Lato" w:eastAsia="Times New Roman" w:hAnsi="Lato" w:cs="Times New Roman"/>
          <w:color w:val="000000"/>
          <w:kern w:val="0"/>
          <w:sz w:val="23"/>
          <w:szCs w:val="23"/>
          <w:lang w:eastAsia="it-IT"/>
          <w14:ligatures w14:val="none"/>
        </w:rPr>
        <w:lastRenderedPageBreak/>
        <w:t>relazione ad attività economiche e imprenditoriali svolgentisi in ambiti (agricoltura, turismo, etc.) affidati alle competenze delle province autonome e delle regioni.</w:t>
      </w:r>
    </w:p>
    <w:p w14:paraId="5C93D928"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Le questioni non sono fondate.</w:t>
      </w:r>
    </w:p>
    <w:p w14:paraId="2EFEC5B9"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Al fine di decidere i dubbi di costituzionalità sollevati nei confronti degli artt. 2, 4 e 8 della legge impugnata, occorre prima precisare in cosa consistono le "azioni positive" a favore delle donne nel campo imprenditoriale.</w:t>
      </w:r>
    </w:p>
    <w:p w14:paraId="7EF41D26"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2.l.- Ai sensi dell'art. 1, secondo comma, della legge n.215 del 1992, le disposizioni contenute nell'atto contestato perseguono le seguenti finalità:</w:t>
      </w:r>
    </w:p>
    <w:p w14:paraId="760F3DED"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a) favorire la creazione e lo sviluppo dell'imprenditoria femminile, anche in forma cooperativa;</w:t>
      </w:r>
    </w:p>
    <w:p w14:paraId="41C7A85B"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b) promuovere la formazione imprenditoriale e qualificare la professionalità delle donne imprenditrici;</w:t>
      </w:r>
    </w:p>
    <w:p w14:paraId="23927D42"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c) agevolare l'accesso al credito per le imprese a conduzione o a prevalente partecipazione femminile;</w:t>
      </w:r>
    </w:p>
    <w:p w14:paraId="45DC0A6B"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d) favorire la qualificazione imprenditoriale e la gestione delle imprese familiari da parte delle donne;</w:t>
      </w:r>
    </w:p>
    <w:p w14:paraId="2588829D"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e) promuovere la presenza delle imprese a conduzione o a prevalente partecipazione femminile nei comparti più innovativi dei diversi settori produttivi.</w:t>
      </w:r>
    </w:p>
    <w:p w14:paraId="01078F6A"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In vista della realizzazione di tali fini, l'impugnato art. 2 individua, quali soggetti che possono accedere ai benefici indicati in altre disposizioni della stessa legge, le società cooperative e di persone costituite in misura non inferiore al sessanta per cento da donne, le società di capitali le cui quote di partecipazione appartengano in misura non inferiore ai due terzi a donne e i cui organi di amministrazione siano costituiti per almeno i due terzi da donne, le imprese individuali gestite da donne operanti nei settori dell'industria, dell'artigianato, dell'agricoltura, del commercio, del turismo e dei servizi (lettera a). Lo stesso articolo, alla lettera b), aggiunge che ai medesimi benefici possono accedere le imprese o i loro consorzi, le associazioni, gli enti, le società di promozione imprenditoriale, anche a capitale misto pubblico e privato, i centri di formazione imprenditoriale o eroganti servizi di consulenza e di assistenza tecnica e manageriale riservati, per una quota non inferiore al settanta per cento, a donne.</w:t>
      </w:r>
    </w:p>
    <w:p w14:paraId="1A1588D6"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xml:space="preserve">In relazione alle distinte categorie di soggetti indicati nelle due lettere dell'art. 2, l'art. 4 determina, poi, le agevolazioni di cui quei soggetti possono beneficiare. Le società e le imprese indicati nella lettera a), </w:t>
      </w:r>
      <w:proofErr w:type="spellStart"/>
      <w:r w:rsidRPr="000F257E">
        <w:rPr>
          <w:rFonts w:ascii="Lato" w:eastAsia="Times New Roman" w:hAnsi="Lato" w:cs="Times New Roman"/>
          <w:color w:val="000000"/>
          <w:kern w:val="0"/>
          <w:sz w:val="23"/>
          <w:szCs w:val="23"/>
          <w:lang w:eastAsia="it-IT"/>
          <w14:ligatures w14:val="none"/>
        </w:rPr>
        <w:t>semprechè</w:t>
      </w:r>
      <w:proofErr w:type="spellEnd"/>
      <w:r w:rsidRPr="000F257E">
        <w:rPr>
          <w:rFonts w:ascii="Lato" w:eastAsia="Times New Roman" w:hAnsi="Lato" w:cs="Times New Roman"/>
          <w:color w:val="000000"/>
          <w:kern w:val="0"/>
          <w:sz w:val="23"/>
          <w:szCs w:val="23"/>
          <w:lang w:eastAsia="it-IT"/>
          <w14:ligatures w14:val="none"/>
        </w:rPr>
        <w:t xml:space="preserve"> siano costituite dopo l'entrata in vigore della legge n.215 del 1992, possono usufruire di contributi in conto capitale fino al cinquanta per cento delle spese per impianti e attrezzature sostenute per l'avvio dell'impresa ovvero per l'acquisto di attività commerciali e turistiche o di attività nel settore dell'industria, dell'artigianato, del commercio o dei servizi, </w:t>
      </w:r>
      <w:proofErr w:type="spellStart"/>
      <w:r w:rsidRPr="000F257E">
        <w:rPr>
          <w:rFonts w:ascii="Lato" w:eastAsia="Times New Roman" w:hAnsi="Lato" w:cs="Times New Roman"/>
          <w:color w:val="000000"/>
          <w:kern w:val="0"/>
          <w:sz w:val="23"/>
          <w:szCs w:val="23"/>
          <w:lang w:eastAsia="it-IT"/>
          <w14:ligatures w14:val="none"/>
        </w:rPr>
        <w:t>nonchè</w:t>
      </w:r>
      <w:proofErr w:type="spellEnd"/>
      <w:r w:rsidRPr="000F257E">
        <w:rPr>
          <w:rFonts w:ascii="Lato" w:eastAsia="Times New Roman" w:hAnsi="Lato" w:cs="Times New Roman"/>
          <w:color w:val="000000"/>
          <w:kern w:val="0"/>
          <w:sz w:val="23"/>
          <w:szCs w:val="23"/>
          <w:lang w:eastAsia="it-IT"/>
          <w14:ligatures w14:val="none"/>
        </w:rPr>
        <w:t xml:space="preserve"> per i progetti aziendali connessi all'introduzione di qualificazione e di innovazione attinenti ai prodotti, alle tecnologie o all'organizzazione.</w:t>
      </w:r>
    </w:p>
    <w:p w14:paraId="472F3D7A"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xml:space="preserve">Inoltre, gli stessi soggetti ora considerati possono beneficiare di contributi fino al trenta per cento delle spese sostenute per l'acquisizione di servizi destinati all'aumento della produttività, all'innovazione organizzativa, al trasferimento delle tecnologie, alla ricerca di nuovi mercati per il collocamento dei prodotti, all'acquisizione di nuove tecniche di produzione, di gestione e di commercializzazione, </w:t>
      </w:r>
      <w:proofErr w:type="spellStart"/>
      <w:r w:rsidRPr="000F257E">
        <w:rPr>
          <w:rFonts w:ascii="Lato" w:eastAsia="Times New Roman" w:hAnsi="Lato" w:cs="Times New Roman"/>
          <w:color w:val="000000"/>
          <w:kern w:val="0"/>
          <w:sz w:val="23"/>
          <w:szCs w:val="23"/>
          <w:lang w:eastAsia="it-IT"/>
          <w14:ligatures w14:val="none"/>
        </w:rPr>
        <w:t>nonchè</w:t>
      </w:r>
      <w:proofErr w:type="spellEnd"/>
      <w:r w:rsidRPr="000F257E">
        <w:rPr>
          <w:rFonts w:ascii="Lato" w:eastAsia="Times New Roman" w:hAnsi="Lato" w:cs="Times New Roman"/>
          <w:color w:val="000000"/>
          <w:kern w:val="0"/>
          <w:sz w:val="23"/>
          <w:szCs w:val="23"/>
          <w:lang w:eastAsia="it-IT"/>
          <w14:ligatures w14:val="none"/>
        </w:rPr>
        <w:t xml:space="preserve"> per lo sviluppo di sistemi di qualità.</w:t>
      </w:r>
    </w:p>
    <w:p w14:paraId="7A565E73"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I soggetti indicati nell'art. 2, lettera b), possono usufruire, a norma dell'art. 4, terzo comma, di contributi fino al cinquanta per cento delle spese sostenute per le attività descritte dallo stesso art.2.</w:t>
      </w:r>
    </w:p>
    <w:p w14:paraId="5E72644D"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lastRenderedPageBreak/>
        <w:t>Infine, l'art. 8 dispone che ai soggetti indicati nell'art. 2, lettera a), possono essere concessi finanziamenti agevolati, di importo non superiore a trecento milioni e di durata non superiore a cinque anni, ad un tasso di interesse pari al cinquanta per cento del tasso di riferimento in vigore per il settore cui appartiene l'impresa beneficiaria.</w:t>
      </w:r>
    </w:p>
    <w:p w14:paraId="657EC7D8"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xml:space="preserve">2.2.- Dalla descrizione ora compiuta si desume che </w:t>
      </w:r>
      <w:r w:rsidRPr="000F257E">
        <w:rPr>
          <w:rFonts w:ascii="Lato" w:eastAsia="Times New Roman" w:hAnsi="Lato" w:cs="Times New Roman"/>
          <w:color w:val="FF0000"/>
          <w:kern w:val="0"/>
          <w:sz w:val="23"/>
          <w:szCs w:val="23"/>
          <w:lang w:eastAsia="it-IT"/>
          <w14:ligatures w14:val="none"/>
        </w:rPr>
        <w:t xml:space="preserve">le disposizioni impugnate prevedono incentivazioni finanziarie a favore di imprese a prevalente partecipazione femminile </w:t>
      </w:r>
      <w:r w:rsidRPr="000F257E">
        <w:rPr>
          <w:rFonts w:ascii="Lato" w:eastAsia="Times New Roman" w:hAnsi="Lato" w:cs="Times New Roman"/>
          <w:color w:val="000000"/>
          <w:kern w:val="0"/>
          <w:sz w:val="23"/>
          <w:szCs w:val="23"/>
          <w:lang w:eastAsia="it-IT"/>
          <w14:ligatures w14:val="none"/>
        </w:rPr>
        <w:t xml:space="preserve">ovvero a favore di istituzioni volte a promuovere l'imprenditorialità femminile, al chiaro scopo di agevolarne lo sviluppo, con riferimento ai momenti più importanti del ciclo produttivo, nei vari settori merceologici in cui operano. Si tratta, più precisamente, di </w:t>
      </w:r>
      <w:r w:rsidRPr="000F257E">
        <w:rPr>
          <w:rFonts w:ascii="Lato" w:eastAsia="Times New Roman" w:hAnsi="Lato" w:cs="Times New Roman"/>
          <w:color w:val="FF0000"/>
          <w:kern w:val="0"/>
          <w:sz w:val="23"/>
          <w:szCs w:val="23"/>
          <w:lang w:eastAsia="it-IT"/>
          <w14:ligatures w14:val="none"/>
        </w:rPr>
        <w:t>interventi di carattere positivo diretti a colmare o, comunque, ad attenuare un evidente squilibrio a sfavore delle donne, che, a causa di discriminazioni accumulatesi nel corso della storia passata per il dominio di determinati comportamenti sociali e modelli culturali, ha portato a favorire le persone di sesso maschile nell'occupazione delle posizioni di imprenditore o di dirigente d'azienda.</w:t>
      </w:r>
    </w:p>
    <w:p w14:paraId="4BC59C8F" w14:textId="77777777" w:rsidR="000F257E" w:rsidRPr="000F257E" w:rsidRDefault="000F257E" w:rsidP="000F257E">
      <w:pPr>
        <w:shd w:val="clear" w:color="auto" w:fill="FFFFFF"/>
        <w:spacing w:after="150"/>
        <w:ind w:firstLine="300"/>
        <w:jc w:val="both"/>
        <w:rPr>
          <w:rFonts w:ascii="Lato" w:eastAsia="Times New Roman" w:hAnsi="Lato" w:cs="Times New Roman"/>
          <w:color w:val="FF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xml:space="preserve">In altri termini, </w:t>
      </w:r>
      <w:r w:rsidRPr="000F257E">
        <w:rPr>
          <w:rFonts w:ascii="Lato" w:eastAsia="Times New Roman" w:hAnsi="Lato" w:cs="Times New Roman"/>
          <w:color w:val="FF0000"/>
          <w:kern w:val="0"/>
          <w:sz w:val="23"/>
          <w:szCs w:val="23"/>
          <w:lang w:eastAsia="it-IT"/>
          <w14:ligatures w14:val="none"/>
        </w:rPr>
        <w:t>le finalità perseguite dalle disposizioni impugnate sono svolgimento immediato del dovere fondamentale - che l'art. 3, secondo comma, della Costituzione assegna alla Repubblica - di "rimuovere gli ostacoli di ordine economico e sociale che, limitando di fatto la libertà e l'eguaglianza dei cittadini, impediscono il pieno sviluppo della persona umana e l'effettiva partecipazione di tutti i lavoratori all'organizzazione politica, economica e sociale del Paese". Le "azioni positive", infatti, sono il più potente strumento a disposizione del legislatore, che, nel rispetto della libertà e dell'autonomia dei singoli individui, tende a innalzare la soglia di partenza per le singole categorie di persone socialmente svantaggiate - fondamentalmente quelle riconducibili ai divieti di discriminazione espressi nel primo comma dello stesso art. 3 (sesso, razza, lingua, religione, opinioni politiche, condizioni personali e sociali) - al fine di assicurare alle categorie medesime uno statuto effettivo di pari opportunità di inserimento sociale, economico e politico.</w:t>
      </w:r>
    </w:p>
    <w:p w14:paraId="7713F3C9" w14:textId="77777777" w:rsidR="000F257E" w:rsidRPr="000F257E" w:rsidRDefault="000F257E" w:rsidP="000F257E">
      <w:pPr>
        <w:shd w:val="clear" w:color="auto" w:fill="FFFFFF"/>
        <w:spacing w:after="150"/>
        <w:ind w:firstLine="300"/>
        <w:jc w:val="both"/>
        <w:rPr>
          <w:rFonts w:ascii="Lato" w:eastAsia="Times New Roman" w:hAnsi="Lato" w:cs="Times New Roman"/>
          <w:color w:val="FF0000"/>
          <w:kern w:val="0"/>
          <w:sz w:val="23"/>
          <w:szCs w:val="23"/>
          <w:lang w:eastAsia="it-IT"/>
          <w14:ligatures w14:val="none"/>
        </w:rPr>
      </w:pPr>
      <w:r w:rsidRPr="000F257E">
        <w:rPr>
          <w:rFonts w:ascii="Lato" w:eastAsia="Times New Roman" w:hAnsi="Lato" w:cs="Times New Roman"/>
          <w:color w:val="FF0000"/>
          <w:kern w:val="0"/>
          <w:sz w:val="23"/>
          <w:szCs w:val="23"/>
          <w:lang w:eastAsia="it-IT"/>
          <w14:ligatures w14:val="none"/>
        </w:rPr>
        <w:t>Nel caso di specie, le "azioni positive" disciplinate dalle disposizioni impugnate sono dirette a superare il rischio che diversità di carattere naturale o biologico si trasformino arbitrariamente in discriminazioni di destino sociale. A tal fine è prevista, in relazione a un settore di attività caratterizzato da una composizione personale che rivela un manifesto squilibrio a danno dei soggetti di sesso femminile, l'adozione di un trattamento di favore nei confronti di una categoria di persone, le donne, che, sulla base di una non irragionevole valutazione operata dal legislatore, hanno subìto in passato discriminazioni di ordine sociale e culturale e, tuttora, sono soggette al pericolo di analoghe discriminazioni.</w:t>
      </w:r>
    </w:p>
    <w:p w14:paraId="537C5E0E" w14:textId="15E03DD9"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FF0000"/>
          <w:kern w:val="0"/>
          <w:sz w:val="23"/>
          <w:szCs w:val="23"/>
          <w:lang w:eastAsia="it-IT"/>
          <w14:ligatures w14:val="none"/>
        </w:rPr>
        <w:t>Trattandosi di misure dirette a trasformare una situazione di effettiva disparità di condizioni in una connotata da una sostanziale parità di opportunità, le "azioni positive" comportano l'adozione di discipline giuridiche differenziate a favore delle categorie sociali svantaggiate, anche in deroga al generale principio di formale parità di trattamento, stabilito nell'art. 3, primo comma, della Costituzione.</w:t>
      </w:r>
      <w:r w:rsidRPr="000F257E">
        <w:rPr>
          <w:rFonts w:ascii="Lato" w:eastAsia="Times New Roman" w:hAnsi="Lato" w:cs="Times New Roman"/>
          <w:color w:val="000000"/>
          <w:kern w:val="0"/>
          <w:sz w:val="23"/>
          <w:szCs w:val="23"/>
          <w:lang w:eastAsia="it-IT"/>
          <w14:ligatures w14:val="none"/>
        </w:rPr>
        <w:t xml:space="preserve"> Ma tali differenziazioni, proprio perch</w:t>
      </w:r>
      <w:r w:rsidR="004056BF">
        <w:rPr>
          <w:rFonts w:ascii="Lato" w:eastAsia="Times New Roman" w:hAnsi="Lato" w:cs="Times New Roman"/>
          <w:color w:val="000000"/>
          <w:kern w:val="0"/>
          <w:sz w:val="23"/>
          <w:szCs w:val="23"/>
          <w:lang w:eastAsia="it-IT"/>
          <w14:ligatures w14:val="none"/>
        </w:rPr>
        <w:t>é</w:t>
      </w:r>
      <w:r w:rsidRPr="000F257E">
        <w:rPr>
          <w:rFonts w:ascii="Lato" w:eastAsia="Times New Roman" w:hAnsi="Lato" w:cs="Times New Roman"/>
          <w:color w:val="000000"/>
          <w:kern w:val="0"/>
          <w:sz w:val="23"/>
          <w:szCs w:val="23"/>
          <w:lang w:eastAsia="it-IT"/>
          <w14:ligatures w14:val="none"/>
        </w:rPr>
        <w:t xml:space="preserve"> presuppongono l'esistenza storica di discriminazioni attinenti al ruolo sociale di determinate categorie di persone e proprio perch</w:t>
      </w:r>
      <w:r w:rsidR="00AD63A7">
        <w:rPr>
          <w:rFonts w:ascii="Lato" w:eastAsia="Times New Roman" w:hAnsi="Lato" w:cs="Times New Roman"/>
          <w:color w:val="000000"/>
          <w:kern w:val="0"/>
          <w:sz w:val="23"/>
          <w:szCs w:val="23"/>
          <w:lang w:eastAsia="it-IT"/>
          <w14:ligatures w14:val="none"/>
        </w:rPr>
        <w:t>é</w:t>
      </w:r>
      <w:r w:rsidRPr="000F257E">
        <w:rPr>
          <w:rFonts w:ascii="Lato" w:eastAsia="Times New Roman" w:hAnsi="Lato" w:cs="Times New Roman"/>
          <w:color w:val="000000"/>
          <w:kern w:val="0"/>
          <w:sz w:val="23"/>
          <w:szCs w:val="23"/>
          <w:lang w:eastAsia="it-IT"/>
          <w14:ligatures w14:val="none"/>
        </w:rPr>
        <w:t xml:space="preserve"> sono dirette a superare discriminazioni afferenti a condizioni personali (sesso) in ragione della garanzia effettiva del valore costituzionale primario della "pari dignità sociale", esigono che la loro attuazione non possa subire difformità o deroghe in relazione alle diverse aree geografiche e politiche del Paese.</w:t>
      </w:r>
    </w:p>
    <w:p w14:paraId="65311879"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xml:space="preserve">Infatti, </w:t>
      </w:r>
      <w:r w:rsidRPr="00AD63A7">
        <w:rPr>
          <w:rFonts w:ascii="Lato" w:eastAsia="Times New Roman" w:hAnsi="Lato" w:cs="Times New Roman"/>
          <w:color w:val="FF0000"/>
          <w:kern w:val="0"/>
          <w:sz w:val="23"/>
          <w:szCs w:val="23"/>
          <w:lang w:eastAsia="it-IT"/>
          <w14:ligatures w14:val="none"/>
        </w:rPr>
        <w:t>se ne fosse messa in pericolo l'applicazione uniforme su tutto il territorio nazionale, il rischio che le "azioni positive" si trasformino in fattori (aggiuntivi) di disparità di trattamento</w:t>
      </w:r>
      <w:r w:rsidRPr="000F257E">
        <w:rPr>
          <w:rFonts w:ascii="Lato" w:eastAsia="Times New Roman" w:hAnsi="Lato" w:cs="Times New Roman"/>
          <w:color w:val="000000"/>
          <w:kern w:val="0"/>
          <w:sz w:val="23"/>
          <w:szCs w:val="23"/>
          <w:lang w:eastAsia="it-IT"/>
          <w14:ligatures w14:val="none"/>
        </w:rPr>
        <w:t>, non più giustificate dall'imperativo costituzionale di riequilibrare posizioni di svantaggio sociale legate alla condizione personale dell'essere donna, sarebbe di tutta evidenza.</w:t>
      </w:r>
    </w:p>
    <w:p w14:paraId="2784CE8C"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lastRenderedPageBreak/>
        <w:t>Ciò non toglie che nel programma di "azioni positive" previsto, in conformità alla precisa indicazione costituzionale che ne affida il compito alla "Repubblica", siano coinvolti anche soggetti pubblici diversi dallo Stato (regioni e province autonome). Ma un coinvolgimento del genere, come la Corte non ha mai mancato di affermare (v., da ultimo, </w:t>
      </w:r>
      <w:proofErr w:type="spellStart"/>
      <w:r w:rsidRPr="000F257E">
        <w:rPr>
          <w:rFonts w:ascii="Lato" w:eastAsia="Times New Roman" w:hAnsi="Lato" w:cs="Times New Roman"/>
          <w:color w:val="000000"/>
          <w:kern w:val="0"/>
          <w:sz w:val="23"/>
          <w:szCs w:val="23"/>
          <w:lang w:eastAsia="it-IT"/>
          <w14:ligatures w14:val="none"/>
        </w:rPr>
        <w:fldChar w:fldCharType="begin"/>
      </w:r>
      <w:r w:rsidRPr="000F257E">
        <w:rPr>
          <w:rFonts w:ascii="Lato" w:eastAsia="Times New Roman" w:hAnsi="Lato" w:cs="Times New Roman"/>
          <w:color w:val="000000"/>
          <w:kern w:val="0"/>
          <w:sz w:val="23"/>
          <w:szCs w:val="23"/>
          <w:lang w:eastAsia="it-IT"/>
          <w14:ligatures w14:val="none"/>
        </w:rPr>
        <w:instrText>HYPERLINK "https://giurcost.org/decisioni/1992/0281s-92.html"</w:instrText>
      </w:r>
      <w:r w:rsidRPr="000F257E">
        <w:rPr>
          <w:rFonts w:ascii="Lato" w:eastAsia="Times New Roman" w:hAnsi="Lato" w:cs="Times New Roman"/>
          <w:color w:val="000000"/>
          <w:kern w:val="0"/>
          <w:sz w:val="23"/>
          <w:szCs w:val="23"/>
          <w:lang w:eastAsia="it-IT"/>
          <w14:ligatures w14:val="none"/>
        </w:rPr>
      </w:r>
      <w:r w:rsidRPr="000F257E">
        <w:rPr>
          <w:rFonts w:ascii="Lato" w:eastAsia="Times New Roman" w:hAnsi="Lato" w:cs="Times New Roman"/>
          <w:color w:val="000000"/>
          <w:kern w:val="0"/>
          <w:sz w:val="23"/>
          <w:szCs w:val="23"/>
          <w:lang w:eastAsia="it-IT"/>
          <w14:ligatures w14:val="none"/>
        </w:rPr>
        <w:fldChar w:fldCharType="separate"/>
      </w:r>
      <w:r w:rsidRPr="000F257E">
        <w:rPr>
          <w:rFonts w:ascii="Lato" w:eastAsia="Times New Roman" w:hAnsi="Lato" w:cs="Times New Roman"/>
          <w:color w:val="0E10A1"/>
          <w:kern w:val="0"/>
          <w:sz w:val="23"/>
          <w:szCs w:val="23"/>
          <w:u w:val="single"/>
          <w:shd w:val="clear" w:color="auto" w:fill="FBFB68"/>
          <w:lang w:eastAsia="it-IT"/>
          <w14:ligatures w14:val="none"/>
        </w:rPr>
        <w:t>sent</w:t>
      </w:r>
      <w:proofErr w:type="spellEnd"/>
      <w:r w:rsidRPr="000F257E">
        <w:rPr>
          <w:rFonts w:ascii="Lato" w:eastAsia="Times New Roman" w:hAnsi="Lato" w:cs="Times New Roman"/>
          <w:color w:val="0E10A1"/>
          <w:kern w:val="0"/>
          <w:sz w:val="23"/>
          <w:szCs w:val="23"/>
          <w:u w:val="single"/>
          <w:shd w:val="clear" w:color="auto" w:fill="FBFB68"/>
          <w:lang w:eastAsia="it-IT"/>
          <w14:ligatures w14:val="none"/>
        </w:rPr>
        <w:t>. n. 281 del 1992</w:t>
      </w:r>
      <w:r w:rsidRPr="000F257E">
        <w:rPr>
          <w:rFonts w:ascii="Lato" w:eastAsia="Times New Roman" w:hAnsi="Lato" w:cs="Times New Roman"/>
          <w:color w:val="000000"/>
          <w:kern w:val="0"/>
          <w:sz w:val="23"/>
          <w:szCs w:val="23"/>
          <w:lang w:eastAsia="it-IT"/>
          <w14:ligatures w14:val="none"/>
        </w:rPr>
        <w:fldChar w:fldCharType="end"/>
      </w:r>
      <w:r w:rsidRPr="000F257E">
        <w:rPr>
          <w:rFonts w:ascii="Lato" w:eastAsia="Times New Roman" w:hAnsi="Lato" w:cs="Times New Roman"/>
          <w:color w:val="000000"/>
          <w:kern w:val="0"/>
          <w:sz w:val="23"/>
          <w:szCs w:val="23"/>
          <w:lang w:eastAsia="it-IT"/>
          <w14:ligatures w14:val="none"/>
        </w:rPr>
        <w:t>), è costituzionalmente possibile soltanto all'interno di un quadro diretto a garantire un'effettiva coerenza di obiettivi e di comportamenti.</w:t>
      </w:r>
    </w:p>
    <w:p w14:paraId="2CF49C9D"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xml:space="preserve">2.3.- Sulla base delle </w:t>
      </w:r>
      <w:proofErr w:type="gramStart"/>
      <w:r w:rsidRPr="000F257E">
        <w:rPr>
          <w:rFonts w:ascii="Lato" w:eastAsia="Times New Roman" w:hAnsi="Lato" w:cs="Times New Roman"/>
          <w:color w:val="000000"/>
          <w:kern w:val="0"/>
          <w:sz w:val="23"/>
          <w:szCs w:val="23"/>
          <w:lang w:eastAsia="it-IT"/>
          <w14:ligatures w14:val="none"/>
        </w:rPr>
        <w:t>suesposte</w:t>
      </w:r>
      <w:proofErr w:type="gramEnd"/>
      <w:r w:rsidRPr="000F257E">
        <w:rPr>
          <w:rFonts w:ascii="Lato" w:eastAsia="Times New Roman" w:hAnsi="Lato" w:cs="Times New Roman"/>
          <w:color w:val="000000"/>
          <w:kern w:val="0"/>
          <w:sz w:val="23"/>
          <w:szCs w:val="23"/>
          <w:lang w:eastAsia="it-IT"/>
          <w14:ligatures w14:val="none"/>
        </w:rPr>
        <w:t xml:space="preserve"> motivazioni vanno rigettati i dubbi di legittimità costituzionale sollevati dalle ricorrenti nei confronti degli artt. 2, 4 e 8 della legge n. 215 del 1992.</w:t>
      </w:r>
    </w:p>
    <w:p w14:paraId="3F28FF03"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Analogamente a quanto si riscontra nella più recente legislazione sociale (sulla quale questa Corte si è già pronunziata: v. </w:t>
      </w:r>
      <w:proofErr w:type="spellStart"/>
      <w:r w:rsidRPr="000F257E">
        <w:rPr>
          <w:rFonts w:ascii="Lato" w:eastAsia="Times New Roman" w:hAnsi="Lato" w:cs="Times New Roman"/>
          <w:color w:val="000000"/>
          <w:kern w:val="0"/>
          <w:sz w:val="23"/>
          <w:szCs w:val="23"/>
          <w:lang w:eastAsia="it-IT"/>
          <w14:ligatures w14:val="none"/>
        </w:rPr>
        <w:fldChar w:fldCharType="begin"/>
      </w:r>
      <w:r w:rsidRPr="000F257E">
        <w:rPr>
          <w:rFonts w:ascii="Lato" w:eastAsia="Times New Roman" w:hAnsi="Lato" w:cs="Times New Roman"/>
          <w:color w:val="000000"/>
          <w:kern w:val="0"/>
          <w:sz w:val="23"/>
          <w:szCs w:val="23"/>
          <w:lang w:eastAsia="it-IT"/>
          <w14:ligatures w14:val="none"/>
        </w:rPr>
        <w:instrText>HYPERLINK "https://giurcost.org/decisioni/1992/0075s-92.html"</w:instrText>
      </w:r>
      <w:r w:rsidRPr="000F257E">
        <w:rPr>
          <w:rFonts w:ascii="Lato" w:eastAsia="Times New Roman" w:hAnsi="Lato" w:cs="Times New Roman"/>
          <w:color w:val="000000"/>
          <w:kern w:val="0"/>
          <w:sz w:val="23"/>
          <w:szCs w:val="23"/>
          <w:lang w:eastAsia="it-IT"/>
          <w14:ligatures w14:val="none"/>
        </w:rPr>
      </w:r>
      <w:r w:rsidRPr="000F257E">
        <w:rPr>
          <w:rFonts w:ascii="Lato" w:eastAsia="Times New Roman" w:hAnsi="Lato" w:cs="Times New Roman"/>
          <w:color w:val="000000"/>
          <w:kern w:val="0"/>
          <w:sz w:val="23"/>
          <w:szCs w:val="23"/>
          <w:lang w:eastAsia="it-IT"/>
          <w14:ligatures w14:val="none"/>
        </w:rPr>
        <w:fldChar w:fldCharType="separate"/>
      </w:r>
      <w:r w:rsidRPr="000F257E">
        <w:rPr>
          <w:rFonts w:ascii="Lato" w:eastAsia="Times New Roman" w:hAnsi="Lato" w:cs="Times New Roman"/>
          <w:color w:val="0E10A1"/>
          <w:kern w:val="0"/>
          <w:sz w:val="23"/>
          <w:szCs w:val="23"/>
          <w:u w:val="single"/>
          <w:shd w:val="clear" w:color="auto" w:fill="FBFB68"/>
          <w:lang w:eastAsia="it-IT"/>
          <w14:ligatures w14:val="none"/>
        </w:rPr>
        <w:t>sentt</w:t>
      </w:r>
      <w:proofErr w:type="spellEnd"/>
      <w:r w:rsidRPr="000F257E">
        <w:rPr>
          <w:rFonts w:ascii="Lato" w:eastAsia="Times New Roman" w:hAnsi="Lato" w:cs="Times New Roman"/>
          <w:color w:val="0E10A1"/>
          <w:kern w:val="0"/>
          <w:sz w:val="23"/>
          <w:szCs w:val="23"/>
          <w:u w:val="single"/>
          <w:shd w:val="clear" w:color="auto" w:fill="FBFB68"/>
          <w:lang w:eastAsia="it-IT"/>
          <w14:ligatures w14:val="none"/>
        </w:rPr>
        <w:t>. nn.75</w:t>
      </w:r>
      <w:r w:rsidRPr="000F257E">
        <w:rPr>
          <w:rFonts w:ascii="Lato" w:eastAsia="Times New Roman" w:hAnsi="Lato" w:cs="Times New Roman"/>
          <w:color w:val="000000"/>
          <w:kern w:val="0"/>
          <w:sz w:val="23"/>
          <w:szCs w:val="23"/>
          <w:lang w:eastAsia="it-IT"/>
          <w14:ligatures w14:val="none"/>
        </w:rPr>
        <w:fldChar w:fldCharType="end"/>
      </w:r>
      <w:r w:rsidRPr="000F257E">
        <w:rPr>
          <w:rFonts w:ascii="Lato" w:eastAsia="Times New Roman" w:hAnsi="Lato" w:cs="Times New Roman"/>
          <w:color w:val="000000"/>
          <w:kern w:val="0"/>
          <w:sz w:val="23"/>
          <w:szCs w:val="23"/>
          <w:lang w:eastAsia="it-IT"/>
          <w14:ligatures w14:val="none"/>
        </w:rPr>
        <w:t>, </w:t>
      </w:r>
      <w:hyperlink r:id="rId4" w:history="1">
        <w:r w:rsidRPr="000F257E">
          <w:rPr>
            <w:rFonts w:ascii="Lato" w:eastAsia="Times New Roman" w:hAnsi="Lato" w:cs="Times New Roman"/>
            <w:color w:val="0E10A1"/>
            <w:kern w:val="0"/>
            <w:sz w:val="23"/>
            <w:szCs w:val="23"/>
            <w:u w:val="single"/>
            <w:shd w:val="clear" w:color="auto" w:fill="FBFB68"/>
            <w:lang w:eastAsia="it-IT"/>
            <w14:ligatures w14:val="none"/>
          </w:rPr>
          <w:t>202</w:t>
        </w:r>
      </w:hyperlink>
      <w:r w:rsidRPr="000F257E">
        <w:rPr>
          <w:rFonts w:ascii="Lato" w:eastAsia="Times New Roman" w:hAnsi="Lato" w:cs="Times New Roman"/>
          <w:color w:val="000000"/>
          <w:kern w:val="0"/>
          <w:sz w:val="23"/>
          <w:szCs w:val="23"/>
          <w:lang w:eastAsia="it-IT"/>
          <w14:ligatures w14:val="none"/>
        </w:rPr>
        <w:t>,  </w:t>
      </w:r>
      <w:hyperlink r:id="rId5" w:history="1">
        <w:r w:rsidRPr="000F257E">
          <w:rPr>
            <w:rFonts w:ascii="Lato" w:eastAsia="Times New Roman" w:hAnsi="Lato" w:cs="Times New Roman"/>
            <w:color w:val="0E10A1"/>
            <w:kern w:val="0"/>
            <w:sz w:val="23"/>
            <w:szCs w:val="23"/>
            <w:u w:val="single"/>
            <w:shd w:val="clear" w:color="auto" w:fill="FBFB68"/>
            <w:lang w:eastAsia="it-IT"/>
            <w14:ligatures w14:val="none"/>
          </w:rPr>
          <w:t>281</w:t>
        </w:r>
      </w:hyperlink>
      <w:r w:rsidRPr="000F257E">
        <w:rPr>
          <w:rFonts w:ascii="Lato" w:eastAsia="Times New Roman" w:hAnsi="Lato" w:cs="Times New Roman"/>
          <w:color w:val="000000"/>
          <w:kern w:val="0"/>
          <w:sz w:val="23"/>
          <w:szCs w:val="23"/>
          <w:lang w:eastAsia="it-IT"/>
          <w14:ligatures w14:val="none"/>
        </w:rPr>
        <w:t> e </w:t>
      </w:r>
      <w:hyperlink r:id="rId6" w:history="1">
        <w:r w:rsidRPr="000F257E">
          <w:rPr>
            <w:rFonts w:ascii="Lato" w:eastAsia="Times New Roman" w:hAnsi="Lato" w:cs="Times New Roman"/>
            <w:color w:val="0E10A1"/>
            <w:kern w:val="0"/>
            <w:sz w:val="23"/>
            <w:szCs w:val="23"/>
            <w:u w:val="single"/>
            <w:shd w:val="clear" w:color="auto" w:fill="FBFB68"/>
            <w:lang w:eastAsia="it-IT"/>
            <w14:ligatures w14:val="none"/>
          </w:rPr>
          <w:t>406 del 1992</w:t>
        </w:r>
      </w:hyperlink>
      <w:r w:rsidRPr="000F257E">
        <w:rPr>
          <w:rFonts w:ascii="Lato" w:eastAsia="Times New Roman" w:hAnsi="Lato" w:cs="Times New Roman"/>
          <w:color w:val="000000"/>
          <w:kern w:val="0"/>
          <w:sz w:val="23"/>
          <w:szCs w:val="23"/>
          <w:lang w:eastAsia="it-IT"/>
          <w14:ligatures w14:val="none"/>
        </w:rPr>
        <w:t>), le disposizioni impugnate pongono una disciplina positivamente differenziata in dipendenza di fattori direttamente attinenti a qualità soggettive delle categorie di persone considerate, e non già in ragione delle attività da esse svolte. Questo carattere della disciplina impugnata testimonia la portata generale della stessa, nel senso che contiene misure concernenti le imprese condotte da donne o a prevalente partecipazione femminile, senza riguardo ai particolari settori materiali nei quali queste operano.</w:t>
      </w:r>
    </w:p>
    <w:p w14:paraId="22CBF6F9"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Tali settori, infatti, sono presi in considerazione dal legislatore unicamente al fine di specificare la natura imprenditoriale delle attività e non già a quello di privilegiare taluni settori materiali e di riservare ad essi soltanto il superamento delle discriminazioni che si intendono eliminare.</w:t>
      </w:r>
    </w:p>
    <w:p w14:paraId="05CE82FB"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Quanto affermato non porta ad escludere che l'attuazione delle "azioni positive" a favore dell'imprenditoria femminile possa in concreto interferire con le politiche di incentivazione che le regioni o le province autonome promuovono nei settori materiali affidati alle loro competenze. Tale incidenza indiretta, secondo il costante orientamento di questa Corte (v., da ultimo, </w:t>
      </w:r>
      <w:proofErr w:type="spellStart"/>
      <w:r w:rsidRPr="000F257E">
        <w:rPr>
          <w:rFonts w:ascii="Lato" w:eastAsia="Times New Roman" w:hAnsi="Lato" w:cs="Times New Roman"/>
          <w:color w:val="000000"/>
          <w:kern w:val="0"/>
          <w:sz w:val="23"/>
          <w:szCs w:val="23"/>
          <w:lang w:eastAsia="it-IT"/>
          <w14:ligatures w14:val="none"/>
        </w:rPr>
        <w:fldChar w:fldCharType="begin"/>
      </w:r>
      <w:r w:rsidRPr="000F257E">
        <w:rPr>
          <w:rFonts w:ascii="Lato" w:eastAsia="Times New Roman" w:hAnsi="Lato" w:cs="Times New Roman"/>
          <w:color w:val="000000"/>
          <w:kern w:val="0"/>
          <w:sz w:val="23"/>
          <w:szCs w:val="23"/>
          <w:lang w:eastAsia="it-IT"/>
          <w14:ligatures w14:val="none"/>
        </w:rPr>
        <w:instrText>HYPERLINK "https://giurcost.org/decisioni/1992/0281s-92.html"</w:instrText>
      </w:r>
      <w:r w:rsidRPr="000F257E">
        <w:rPr>
          <w:rFonts w:ascii="Lato" w:eastAsia="Times New Roman" w:hAnsi="Lato" w:cs="Times New Roman"/>
          <w:color w:val="000000"/>
          <w:kern w:val="0"/>
          <w:sz w:val="23"/>
          <w:szCs w:val="23"/>
          <w:lang w:eastAsia="it-IT"/>
          <w14:ligatures w14:val="none"/>
        </w:rPr>
      </w:r>
      <w:r w:rsidRPr="000F257E">
        <w:rPr>
          <w:rFonts w:ascii="Lato" w:eastAsia="Times New Roman" w:hAnsi="Lato" w:cs="Times New Roman"/>
          <w:color w:val="000000"/>
          <w:kern w:val="0"/>
          <w:sz w:val="23"/>
          <w:szCs w:val="23"/>
          <w:lang w:eastAsia="it-IT"/>
          <w14:ligatures w14:val="none"/>
        </w:rPr>
        <w:fldChar w:fldCharType="separate"/>
      </w:r>
      <w:r w:rsidRPr="000F257E">
        <w:rPr>
          <w:rFonts w:ascii="Lato" w:eastAsia="Times New Roman" w:hAnsi="Lato" w:cs="Times New Roman"/>
          <w:color w:val="0E10A1"/>
          <w:kern w:val="0"/>
          <w:sz w:val="23"/>
          <w:szCs w:val="23"/>
          <w:u w:val="single"/>
          <w:shd w:val="clear" w:color="auto" w:fill="FBFB68"/>
          <w:lang w:eastAsia="it-IT"/>
          <w14:ligatures w14:val="none"/>
        </w:rPr>
        <w:t>sentt</w:t>
      </w:r>
      <w:proofErr w:type="spellEnd"/>
      <w:r w:rsidRPr="000F257E">
        <w:rPr>
          <w:rFonts w:ascii="Lato" w:eastAsia="Times New Roman" w:hAnsi="Lato" w:cs="Times New Roman"/>
          <w:color w:val="0E10A1"/>
          <w:kern w:val="0"/>
          <w:sz w:val="23"/>
          <w:szCs w:val="23"/>
          <w:u w:val="single"/>
          <w:shd w:val="clear" w:color="auto" w:fill="FBFB68"/>
          <w:lang w:eastAsia="it-IT"/>
          <w14:ligatures w14:val="none"/>
        </w:rPr>
        <w:t xml:space="preserve">. </w:t>
      </w:r>
      <w:proofErr w:type="spellStart"/>
      <w:r w:rsidRPr="000F257E">
        <w:rPr>
          <w:rFonts w:ascii="Lato" w:eastAsia="Times New Roman" w:hAnsi="Lato" w:cs="Times New Roman"/>
          <w:color w:val="0E10A1"/>
          <w:kern w:val="0"/>
          <w:sz w:val="23"/>
          <w:szCs w:val="23"/>
          <w:u w:val="single"/>
          <w:shd w:val="clear" w:color="auto" w:fill="FBFB68"/>
          <w:lang w:eastAsia="it-IT"/>
          <w14:ligatures w14:val="none"/>
        </w:rPr>
        <w:t>nn</w:t>
      </w:r>
      <w:proofErr w:type="spellEnd"/>
      <w:r w:rsidRPr="000F257E">
        <w:rPr>
          <w:rFonts w:ascii="Lato" w:eastAsia="Times New Roman" w:hAnsi="Lato" w:cs="Times New Roman"/>
          <w:color w:val="0E10A1"/>
          <w:kern w:val="0"/>
          <w:sz w:val="23"/>
          <w:szCs w:val="23"/>
          <w:u w:val="single"/>
          <w:shd w:val="clear" w:color="auto" w:fill="FBFB68"/>
          <w:lang w:eastAsia="it-IT"/>
          <w14:ligatures w14:val="none"/>
        </w:rPr>
        <w:t>. 281</w:t>
      </w:r>
      <w:r w:rsidRPr="000F257E">
        <w:rPr>
          <w:rFonts w:ascii="Lato" w:eastAsia="Times New Roman" w:hAnsi="Lato" w:cs="Times New Roman"/>
          <w:color w:val="000000"/>
          <w:kern w:val="0"/>
          <w:sz w:val="23"/>
          <w:szCs w:val="23"/>
          <w:lang w:eastAsia="it-IT"/>
          <w14:ligatures w14:val="none"/>
        </w:rPr>
        <w:fldChar w:fldCharType="end"/>
      </w:r>
      <w:r w:rsidRPr="000F257E">
        <w:rPr>
          <w:rFonts w:ascii="Lato" w:eastAsia="Times New Roman" w:hAnsi="Lato" w:cs="Times New Roman"/>
          <w:color w:val="000000"/>
          <w:kern w:val="0"/>
          <w:sz w:val="23"/>
          <w:szCs w:val="23"/>
          <w:lang w:eastAsia="it-IT"/>
          <w14:ligatures w14:val="none"/>
        </w:rPr>
        <w:t>, </w:t>
      </w:r>
      <w:hyperlink r:id="rId7" w:history="1">
        <w:r w:rsidRPr="000F257E">
          <w:rPr>
            <w:rFonts w:ascii="Lato" w:eastAsia="Times New Roman" w:hAnsi="Lato" w:cs="Times New Roman"/>
            <w:color w:val="0E10A1"/>
            <w:kern w:val="0"/>
            <w:sz w:val="23"/>
            <w:szCs w:val="23"/>
            <w:u w:val="single"/>
            <w:shd w:val="clear" w:color="auto" w:fill="FBFB68"/>
            <w:lang w:eastAsia="it-IT"/>
            <w14:ligatures w14:val="none"/>
          </w:rPr>
          <w:t>366</w:t>
        </w:r>
      </w:hyperlink>
      <w:r w:rsidRPr="000F257E">
        <w:rPr>
          <w:rFonts w:ascii="Lato" w:eastAsia="Times New Roman" w:hAnsi="Lato" w:cs="Times New Roman"/>
          <w:color w:val="000000"/>
          <w:kern w:val="0"/>
          <w:sz w:val="23"/>
          <w:szCs w:val="23"/>
          <w:lang w:eastAsia="it-IT"/>
          <w14:ligatures w14:val="none"/>
        </w:rPr>
        <w:t> e </w:t>
      </w:r>
      <w:hyperlink r:id="rId8" w:history="1">
        <w:r w:rsidRPr="000F257E">
          <w:rPr>
            <w:rFonts w:ascii="Lato" w:eastAsia="Times New Roman" w:hAnsi="Lato" w:cs="Times New Roman"/>
            <w:color w:val="0E10A1"/>
            <w:kern w:val="0"/>
            <w:sz w:val="23"/>
            <w:szCs w:val="23"/>
            <w:u w:val="single"/>
            <w:shd w:val="clear" w:color="auto" w:fill="FBFB68"/>
            <w:lang w:eastAsia="it-IT"/>
            <w14:ligatures w14:val="none"/>
          </w:rPr>
          <w:t>406 del 1992</w:t>
        </w:r>
      </w:hyperlink>
      <w:r w:rsidRPr="000F257E">
        <w:rPr>
          <w:rFonts w:ascii="Lato" w:eastAsia="Times New Roman" w:hAnsi="Lato" w:cs="Times New Roman"/>
          <w:color w:val="000000"/>
          <w:kern w:val="0"/>
          <w:sz w:val="23"/>
          <w:szCs w:val="23"/>
          <w:lang w:eastAsia="it-IT"/>
          <w14:ligatures w14:val="none"/>
        </w:rPr>
        <w:t>), non può tuttavia costituire motivo di illegittimità costituzionale, ma esige, piuttosto, la previsione di adeguati strumenti di cooperazione fra lo Stato e le regioni (o le province autonome).</w:t>
      </w:r>
    </w:p>
    <w:p w14:paraId="5E838676"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3.- Le considerazioni appena svolte conducono all'accoglimento parziale delle questioni di legittimità costituzionale che le ricorrenti hanno sollevato nei confronti dell'art. 6 della legge n. 215 del 1992.</w:t>
      </w:r>
    </w:p>
    <w:p w14:paraId="76CA4E4E"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Tale articolo, al primo comma, demanda a un decreto del Ministro dell'industria, del commercio e dell'artigianato, di concerto con il Ministro del tesoro, la determinazione dei criteri e delle modalità per la presentazione delle domande e per la concessione delle agevolazioni previste dal già ricordato art. 4. Per questo aspetto le censure mosse dalle ricorrenti vanno rigettate, dal momento che l'attribuzione allo Stato del potere di stabilire programmi di "azioni positive" riguardo all'imprenditoria femminile fa consequenzialmente cadere la pretesa lesività dell'intervento di un decreto ministeriale diretto a fissare i criteri e le modalità per l'attuazione di quei programmi legislativi.</w:t>
      </w:r>
    </w:p>
    <w:p w14:paraId="4A2B06B0"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Al contrario, vanno parzialmente accolte le censure che le stesse ricorrenti muovono al secondo comma dell'art. 6, per il quale le agevolazioni sono concesse con decreto del Ministro dell'industria, di concerto con i Ministri competenti per i settori cui appartengono i soggetti beneficiari, ma senza alcuno strumento di cooperazione con le regioni o le province autonome, le cui materie di propria competenza siano interessate dal suddetto decreto.</w:t>
      </w:r>
    </w:p>
    <w:p w14:paraId="6FAC6D9E" w14:textId="47367BFC"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Le censure delle ricorrenti vanno accolte su quest'ultimo punto, poich</w:t>
      </w:r>
      <w:r w:rsidR="004056BF">
        <w:rPr>
          <w:rFonts w:ascii="Lato" w:eastAsia="Times New Roman" w:hAnsi="Lato" w:cs="Times New Roman"/>
          <w:color w:val="000000"/>
          <w:kern w:val="0"/>
          <w:sz w:val="23"/>
          <w:szCs w:val="23"/>
          <w:lang w:eastAsia="it-IT"/>
          <w14:ligatures w14:val="none"/>
        </w:rPr>
        <w:t>é</w:t>
      </w:r>
      <w:r w:rsidRPr="000F257E">
        <w:rPr>
          <w:rFonts w:ascii="Lato" w:eastAsia="Times New Roman" w:hAnsi="Lato" w:cs="Times New Roman"/>
          <w:color w:val="000000"/>
          <w:kern w:val="0"/>
          <w:sz w:val="23"/>
          <w:szCs w:val="23"/>
          <w:lang w:eastAsia="it-IT"/>
          <w14:ligatures w14:val="none"/>
        </w:rPr>
        <w:t xml:space="preserve"> l'esercizio del potere statale di concedere agevolazioni alle imprese a prevalente partecipazione femminile o condotte da donne, giustificato dalla </w:t>
      </w:r>
      <w:r w:rsidRPr="00AD63A7">
        <w:rPr>
          <w:rFonts w:ascii="Lato" w:eastAsia="Times New Roman" w:hAnsi="Lato" w:cs="Times New Roman"/>
          <w:color w:val="FF0000"/>
          <w:kern w:val="0"/>
          <w:sz w:val="23"/>
          <w:szCs w:val="23"/>
          <w:lang w:eastAsia="it-IT"/>
          <w14:ligatures w14:val="none"/>
        </w:rPr>
        <w:t>necessità di assicurare condizioni di uniformità su tutto il territorio nazionale in ordine all'attuazione di un valore costituzionale primario</w:t>
      </w:r>
      <w:r w:rsidRPr="000F257E">
        <w:rPr>
          <w:rFonts w:ascii="Lato" w:eastAsia="Times New Roman" w:hAnsi="Lato" w:cs="Times New Roman"/>
          <w:color w:val="000000"/>
          <w:kern w:val="0"/>
          <w:sz w:val="23"/>
          <w:szCs w:val="23"/>
          <w:lang w:eastAsia="it-IT"/>
          <w14:ligatures w14:val="none"/>
        </w:rPr>
        <w:t xml:space="preserve">, come la realizzazione dell'eguaglianza effettiva delle donne e degli uomini nel campo dell'imprenditoria, produce </w:t>
      </w:r>
      <w:r w:rsidRPr="000F257E">
        <w:rPr>
          <w:rFonts w:ascii="Lato" w:eastAsia="Times New Roman" w:hAnsi="Lato" w:cs="Times New Roman"/>
          <w:color w:val="000000"/>
          <w:kern w:val="0"/>
          <w:sz w:val="23"/>
          <w:szCs w:val="23"/>
          <w:lang w:eastAsia="it-IT"/>
          <w14:ligatures w14:val="none"/>
        </w:rPr>
        <w:lastRenderedPageBreak/>
        <w:t>indubbie interferenze sullo svolgimento delle competenze regionali (o provinciali), allorch</w:t>
      </w:r>
      <w:r w:rsidR="004056BF">
        <w:rPr>
          <w:rFonts w:ascii="Lato" w:eastAsia="Times New Roman" w:hAnsi="Lato" w:cs="Times New Roman"/>
          <w:color w:val="000000"/>
          <w:kern w:val="0"/>
          <w:sz w:val="23"/>
          <w:szCs w:val="23"/>
          <w:lang w:eastAsia="it-IT"/>
          <w14:ligatures w14:val="none"/>
        </w:rPr>
        <w:t>é</w:t>
      </w:r>
      <w:r w:rsidRPr="000F257E">
        <w:rPr>
          <w:rFonts w:ascii="Lato" w:eastAsia="Times New Roman" w:hAnsi="Lato" w:cs="Times New Roman"/>
          <w:color w:val="000000"/>
          <w:kern w:val="0"/>
          <w:sz w:val="23"/>
          <w:szCs w:val="23"/>
          <w:lang w:eastAsia="it-IT"/>
          <w14:ligatures w14:val="none"/>
        </w:rPr>
        <w:t xml:space="preserve"> le agevolazioni da concedere riguardino imprese operanti in settori materiali sottoposti alla disciplina dei poteri regionali (o provinciali) medesimi. In relazione a tali interferenze, il principio costituzionale di leale cooperazione esige che la decisione statale di concessione delle </w:t>
      </w:r>
      <w:proofErr w:type="gramStart"/>
      <w:r w:rsidRPr="000F257E">
        <w:rPr>
          <w:rFonts w:ascii="Lato" w:eastAsia="Times New Roman" w:hAnsi="Lato" w:cs="Times New Roman"/>
          <w:color w:val="000000"/>
          <w:kern w:val="0"/>
          <w:sz w:val="23"/>
          <w:szCs w:val="23"/>
          <w:lang w:eastAsia="it-IT"/>
          <w14:ligatures w14:val="none"/>
        </w:rPr>
        <w:t>predette</w:t>
      </w:r>
      <w:proofErr w:type="gramEnd"/>
      <w:r w:rsidRPr="000F257E">
        <w:rPr>
          <w:rFonts w:ascii="Lato" w:eastAsia="Times New Roman" w:hAnsi="Lato" w:cs="Times New Roman"/>
          <w:color w:val="000000"/>
          <w:kern w:val="0"/>
          <w:sz w:val="23"/>
          <w:szCs w:val="23"/>
          <w:lang w:eastAsia="it-IT"/>
          <w14:ligatures w14:val="none"/>
        </w:rPr>
        <w:t xml:space="preserve"> agevolazioni sia preceduta da </w:t>
      </w:r>
      <w:r w:rsidRPr="00AD63A7">
        <w:rPr>
          <w:rFonts w:ascii="Lato" w:eastAsia="Times New Roman" w:hAnsi="Lato" w:cs="Times New Roman"/>
          <w:color w:val="FF0000"/>
          <w:kern w:val="0"/>
          <w:sz w:val="23"/>
          <w:szCs w:val="23"/>
          <w:lang w:eastAsia="it-IT"/>
          <w14:ligatures w14:val="none"/>
        </w:rPr>
        <w:t xml:space="preserve">forme di raccordo con le regioni </w:t>
      </w:r>
      <w:r w:rsidRPr="000F257E">
        <w:rPr>
          <w:rFonts w:ascii="Lato" w:eastAsia="Times New Roman" w:hAnsi="Lato" w:cs="Times New Roman"/>
          <w:color w:val="000000"/>
          <w:kern w:val="0"/>
          <w:sz w:val="23"/>
          <w:szCs w:val="23"/>
          <w:lang w:eastAsia="it-IT"/>
          <w14:ligatures w14:val="none"/>
        </w:rPr>
        <w:t>(o le province autonome) nel cui ambito di competenza ricadono le attività delle imprese destinatarie dei benefici previsti dalla legge n. 215 del 1992. Tale esigenza di cooperazione, che peraltro la disposizione impugnata soddisfa unicamente nei rapporti con gli altri ministeri (mediante il "concerto"), si impone tanto più nei rapporti con le regioni e le province autonome, dal momento che l'art. 12 della legge impugnata prevede che queste ultime concorrano - attraverso la predisposizione di propri programmi di "azioni positive" coerenti con quelli nazionali - al raggiungimento degli obiettivi di eguaglianza sostanziale perseguiti dalla legge stessa.</w:t>
      </w:r>
    </w:p>
    <w:p w14:paraId="44F644E1"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Per le ragioni ora esposte, quando la concessione delle agevolazioni da parte del Ministro dell'industria interferisce con competenze attribuite alle regioni a statuto ordinario e alle province autonome, il relativo potere non può essere esercitato senza che sia previsto un adeguato strumento di collaborazione tra Stato e regioni (o province autonome).</w:t>
      </w:r>
    </w:p>
    <w:p w14:paraId="36BD3698"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4.- Non fondate sono le questioni di legittimità costituzionale sollevate da entrambe le ricorrenti nei confronti dell'art. 12 della legge n. 215 del 1992.</w:t>
      </w:r>
    </w:p>
    <w:p w14:paraId="13E42A4E" w14:textId="6964CC7C"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Nel prevedere che le regioni e le province autonome, in vista di finalità coerenti con la stessa legge, attuino, in accordo con le associazioni di categoria, programmi che prevedano la diffusione di informazioni mirate, nonch</w:t>
      </w:r>
      <w:r w:rsidR="004056BF">
        <w:rPr>
          <w:rFonts w:ascii="Lato" w:eastAsia="Times New Roman" w:hAnsi="Lato" w:cs="Times New Roman"/>
          <w:color w:val="000000"/>
          <w:kern w:val="0"/>
          <w:sz w:val="23"/>
          <w:szCs w:val="23"/>
          <w:lang w:eastAsia="it-IT"/>
          <w14:ligatures w14:val="none"/>
        </w:rPr>
        <w:t>é</w:t>
      </w:r>
      <w:r w:rsidRPr="000F257E">
        <w:rPr>
          <w:rFonts w:ascii="Lato" w:eastAsia="Times New Roman" w:hAnsi="Lato" w:cs="Times New Roman"/>
          <w:color w:val="000000"/>
          <w:kern w:val="0"/>
          <w:sz w:val="23"/>
          <w:szCs w:val="23"/>
          <w:lang w:eastAsia="it-IT"/>
          <w14:ligatures w14:val="none"/>
        </w:rPr>
        <w:t xml:space="preserve"> la realizzazione di servizi di consulenza e di assistenza tecnica, di progettazione organizzativa, di supporto alle attività agevolate dalla legge medesima, l'art. 12 violerebbe l'autonomia organizzativa garantita alle regioni e alle province autonome là dove stabilisce, secondo la prospettazione delle ricorrenti, la necessità dell'accordo con le associazioni di categoria. La stessa sfera di competenze sarebbe violata, sempre secondo le ricorrenti, anche dal secondo comma dello stesso articolo, che prevede, per la realizzazione dei </w:t>
      </w:r>
      <w:proofErr w:type="gramStart"/>
      <w:r w:rsidRPr="000F257E">
        <w:rPr>
          <w:rFonts w:ascii="Lato" w:eastAsia="Times New Roman" w:hAnsi="Lato" w:cs="Times New Roman"/>
          <w:color w:val="000000"/>
          <w:kern w:val="0"/>
          <w:sz w:val="23"/>
          <w:szCs w:val="23"/>
          <w:lang w:eastAsia="it-IT"/>
          <w14:ligatures w14:val="none"/>
        </w:rPr>
        <w:t>predetti</w:t>
      </w:r>
      <w:proofErr w:type="gramEnd"/>
      <w:r w:rsidRPr="000F257E">
        <w:rPr>
          <w:rFonts w:ascii="Lato" w:eastAsia="Times New Roman" w:hAnsi="Lato" w:cs="Times New Roman"/>
          <w:color w:val="000000"/>
          <w:kern w:val="0"/>
          <w:sz w:val="23"/>
          <w:szCs w:val="23"/>
          <w:lang w:eastAsia="it-IT"/>
          <w14:ligatures w14:val="none"/>
        </w:rPr>
        <w:t xml:space="preserve"> programmi, la stipulazione di convenzioni con enti pubblici e privati, presenti nel territorio, aventi esperienza in materia. Infine, anche il terzo comma dell'art. 12 sarebbe costituzionalmente illegittimo, in quanto violerebbe l'art. 81, quarto comma, della Costituzione, per aver limitato la possibilità per le regioni e le province autonome di attingere al Fondo nazionale ad un ammontare non superiore al trenta per cento della spesa prevista, di modo che sarebbero stabiliti oneri finanziari sprovvisti di adeguati mezzi di copertura.</w:t>
      </w:r>
    </w:p>
    <w:p w14:paraId="3337B7F2"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Le censure ora considerate muovono tutte dal presupposto erroneo che le regioni e le province autonome siano obbligate a predisporre i programmi indicati nell'art. 12, con il conseguente vincolo a stipulare le convenzioni e gli accordi previsti e a finanziare le suddette attività, per il settanta per cento, con risorse proprie. In realtà, sia se interpretato nella sua stretta letteralità, sia se collocato in una visione sistematica dell'intera legge, l'art. 12 porta a configurare la predisposizione e la realizzazione dei programmi di "azioni positive" come una facoltà delle regioni e delle province autonome. Sotto il profilo letterale, oc corre considerare che l'articolo in esame mira a predisporre un quadro di coordinamento fra le iniziative a favore dell'imprenditoria femminile poste in essere dallo Stato e quelle concorrenti autonomamente decise dalle regioni e dalle province autonome.</w:t>
      </w:r>
    </w:p>
    <w:p w14:paraId="7B988EEF"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xml:space="preserve">L'art. 12, sotto quest'ultimo aspetto, si limita a prevedere la necessità della coerenza dei programmi liberamente determinati dalle regioni (e dalle province autonome) con le finalità d'interesse generale perseguite dalla legge n. 215 del 1992 e a stabilire, anche in relazione al contributo finanziario statale del trenta per cento della spesa prevista per i suddetti programmi, la via preferenziale dell'accordo con le associazioni di categoria (per la predisposizione dei programmi medesimi) e quella della convenzione con enti pubblici e privati aventi particolare esperienza in materia (per la realizzazione dei programmi stessi). Si tratta, com'è evidente, di </w:t>
      </w:r>
      <w:r w:rsidRPr="000F257E">
        <w:rPr>
          <w:rFonts w:ascii="Lato" w:eastAsia="Times New Roman" w:hAnsi="Lato" w:cs="Times New Roman"/>
          <w:color w:val="000000"/>
          <w:kern w:val="0"/>
          <w:sz w:val="23"/>
          <w:szCs w:val="23"/>
          <w:lang w:eastAsia="it-IT"/>
          <w14:ligatures w14:val="none"/>
        </w:rPr>
        <w:lastRenderedPageBreak/>
        <w:t>vincoli e di disposizioni che non possono in alcun modo esser considerati lesivi dell'autonomia costituzionale spettante alle ricorrenti.</w:t>
      </w:r>
    </w:p>
    <w:p w14:paraId="26B066BB"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xml:space="preserve">5.- Deve, infine, dichiararsi la non fondatezza delle questioni di legittimità costituzionale sollevate dalla Provincia autonoma di Trento e dal la Regione Lombardia nei confronti dell'art. 3 della legge n.215 del 1992, il quale prevede l'istituzione presso il Ministero dell'industria del Fondo nazionale per lo sviluppo dell'imprenditoria femminile. Infatti, </w:t>
      </w:r>
      <w:proofErr w:type="spellStart"/>
      <w:r w:rsidRPr="000F257E">
        <w:rPr>
          <w:rFonts w:ascii="Lato" w:eastAsia="Times New Roman" w:hAnsi="Lato" w:cs="Times New Roman"/>
          <w:color w:val="000000"/>
          <w:kern w:val="0"/>
          <w:sz w:val="23"/>
          <w:szCs w:val="23"/>
          <w:lang w:eastAsia="it-IT"/>
          <w14:ligatures w14:val="none"/>
        </w:rPr>
        <w:t>poichè</w:t>
      </w:r>
      <w:proofErr w:type="spellEnd"/>
      <w:r w:rsidRPr="000F257E">
        <w:rPr>
          <w:rFonts w:ascii="Lato" w:eastAsia="Times New Roman" w:hAnsi="Lato" w:cs="Times New Roman"/>
          <w:color w:val="000000"/>
          <w:kern w:val="0"/>
          <w:sz w:val="23"/>
          <w:szCs w:val="23"/>
          <w:lang w:eastAsia="it-IT"/>
          <w14:ligatures w14:val="none"/>
        </w:rPr>
        <w:t xml:space="preserve"> per le ragioni precedentemente illustrate la materia regolata dalla legge in questione sfugge alle competenze regionali o provinciali, vengono conseguentemente a cadere le censure delle ricorrenti in ordine a una presunta violazione della autonomia ad esse assicurata dalle disposizioni statutarie e costituzionali ricordate al punto 1 della presente motivazione.</w:t>
      </w:r>
    </w:p>
    <w:p w14:paraId="5861C9CE" w14:textId="77777777" w:rsidR="000F257E" w:rsidRPr="000F257E" w:rsidRDefault="000F257E" w:rsidP="000F257E">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PER QUESTI MOTIVI</w:t>
      </w:r>
    </w:p>
    <w:p w14:paraId="3A87D4AE" w14:textId="77777777" w:rsidR="000F257E" w:rsidRPr="000F257E" w:rsidRDefault="000F257E" w:rsidP="000F257E">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LA CORTE COSTITUZIONALE</w:t>
      </w:r>
    </w:p>
    <w:p w14:paraId="07F6DFD2"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riuniti i giudizi,</w:t>
      </w:r>
    </w:p>
    <w:p w14:paraId="24F52F24"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w:t>
      </w:r>
      <w:r w:rsidRPr="000F257E">
        <w:rPr>
          <w:rFonts w:ascii="Lato" w:eastAsia="Times New Roman" w:hAnsi="Lato" w:cs="Times New Roman"/>
          <w:i/>
          <w:iCs/>
          <w:color w:val="000000"/>
          <w:kern w:val="0"/>
          <w:sz w:val="23"/>
          <w:szCs w:val="23"/>
          <w:lang w:eastAsia="it-IT"/>
          <w14:ligatures w14:val="none"/>
        </w:rPr>
        <w:t> dichiara</w:t>
      </w:r>
      <w:r w:rsidRPr="000F257E">
        <w:rPr>
          <w:rFonts w:ascii="Lato" w:eastAsia="Times New Roman" w:hAnsi="Lato" w:cs="Times New Roman"/>
          <w:color w:val="000000"/>
          <w:kern w:val="0"/>
          <w:sz w:val="23"/>
          <w:szCs w:val="23"/>
          <w:lang w:eastAsia="it-IT"/>
          <w14:ligatures w14:val="none"/>
        </w:rPr>
        <w:t xml:space="preserve"> l'illegittimità costituzionale dell'art. 6, secondo comma, della legge 25 febbraio 1992, n. 215 (Azioni positive per l'imprenditoria femminile), nella parte in cui non prevede un meccanismo di cooperazione tra lo Stato, le regioni e le province autonome in relazione all'esercizio del potere del Ministro dell'industria, del commercio e dell'artigianato concernente la concessione delle agevolazioni alle imprese condotte da donne o a prevalente partecipazione femminile </w:t>
      </w:r>
      <w:proofErr w:type="spellStart"/>
      <w:r w:rsidRPr="000F257E">
        <w:rPr>
          <w:rFonts w:ascii="Lato" w:eastAsia="Times New Roman" w:hAnsi="Lato" w:cs="Times New Roman"/>
          <w:color w:val="000000"/>
          <w:kern w:val="0"/>
          <w:sz w:val="23"/>
          <w:szCs w:val="23"/>
          <w:lang w:eastAsia="it-IT"/>
          <w14:ligatures w14:val="none"/>
        </w:rPr>
        <w:t>allorchè</w:t>
      </w:r>
      <w:proofErr w:type="spellEnd"/>
      <w:r w:rsidRPr="000F257E">
        <w:rPr>
          <w:rFonts w:ascii="Lato" w:eastAsia="Times New Roman" w:hAnsi="Lato" w:cs="Times New Roman"/>
          <w:color w:val="000000"/>
          <w:kern w:val="0"/>
          <w:sz w:val="23"/>
          <w:szCs w:val="23"/>
          <w:lang w:eastAsia="it-IT"/>
          <w14:ligatures w14:val="none"/>
        </w:rPr>
        <w:t xml:space="preserve"> queste ultime operino nell'ambito dei settori materiali affidati alle competenze delle regioni e delle province autonome;</w:t>
      </w:r>
    </w:p>
    <w:p w14:paraId="6D1E463A"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w:t>
      </w:r>
      <w:r w:rsidRPr="000F257E">
        <w:rPr>
          <w:rFonts w:ascii="Lato" w:eastAsia="Times New Roman" w:hAnsi="Lato" w:cs="Times New Roman"/>
          <w:i/>
          <w:iCs/>
          <w:color w:val="000000"/>
          <w:kern w:val="0"/>
          <w:sz w:val="23"/>
          <w:szCs w:val="23"/>
          <w:lang w:eastAsia="it-IT"/>
          <w14:ligatures w14:val="none"/>
        </w:rPr>
        <w:t>dichiara</w:t>
      </w:r>
      <w:r w:rsidRPr="000F257E">
        <w:rPr>
          <w:rFonts w:ascii="Lato" w:eastAsia="Times New Roman" w:hAnsi="Lato" w:cs="Times New Roman"/>
          <w:color w:val="000000"/>
          <w:kern w:val="0"/>
          <w:sz w:val="23"/>
          <w:szCs w:val="23"/>
          <w:lang w:eastAsia="it-IT"/>
          <w14:ligatures w14:val="none"/>
        </w:rPr>
        <w:t xml:space="preserve"> non fondate le questioni di legittimità costituzionale degli artt. 2, 3, 4, 6, primo comma, e 8 della legge 25 febbraio 1992, n. 215, sollevate, con i ricorsi indicati in epigrafe, dalla Provincia autonoma di Trento, in riferimento agli artt. 8, </w:t>
      </w:r>
      <w:proofErr w:type="spellStart"/>
      <w:r w:rsidRPr="000F257E">
        <w:rPr>
          <w:rFonts w:ascii="Lato" w:eastAsia="Times New Roman" w:hAnsi="Lato" w:cs="Times New Roman"/>
          <w:color w:val="000000"/>
          <w:kern w:val="0"/>
          <w:sz w:val="23"/>
          <w:szCs w:val="23"/>
          <w:lang w:eastAsia="it-IT"/>
          <w14:ligatures w14:val="none"/>
        </w:rPr>
        <w:t>nn</w:t>
      </w:r>
      <w:proofErr w:type="spellEnd"/>
      <w:r w:rsidRPr="000F257E">
        <w:rPr>
          <w:rFonts w:ascii="Lato" w:eastAsia="Times New Roman" w:hAnsi="Lato" w:cs="Times New Roman"/>
          <w:color w:val="000000"/>
          <w:kern w:val="0"/>
          <w:sz w:val="23"/>
          <w:szCs w:val="23"/>
          <w:lang w:eastAsia="it-IT"/>
          <w14:ligatures w14:val="none"/>
        </w:rPr>
        <w:t xml:space="preserve">. 9, 18, 20, 21 e 29;9, </w:t>
      </w:r>
      <w:proofErr w:type="spellStart"/>
      <w:r w:rsidRPr="000F257E">
        <w:rPr>
          <w:rFonts w:ascii="Lato" w:eastAsia="Times New Roman" w:hAnsi="Lato" w:cs="Times New Roman"/>
          <w:color w:val="000000"/>
          <w:kern w:val="0"/>
          <w:sz w:val="23"/>
          <w:szCs w:val="23"/>
          <w:lang w:eastAsia="it-IT"/>
          <w14:ligatures w14:val="none"/>
        </w:rPr>
        <w:t>nn</w:t>
      </w:r>
      <w:proofErr w:type="spellEnd"/>
      <w:r w:rsidRPr="000F257E">
        <w:rPr>
          <w:rFonts w:ascii="Lato" w:eastAsia="Times New Roman" w:hAnsi="Lato" w:cs="Times New Roman"/>
          <w:color w:val="000000"/>
          <w:kern w:val="0"/>
          <w:sz w:val="23"/>
          <w:szCs w:val="23"/>
          <w:lang w:eastAsia="it-IT"/>
          <w14:ligatures w14:val="none"/>
        </w:rPr>
        <w:t>. 3, 7 e 8; 15 e 16, del d.P.R. 31 agosto 1972, n. 670 (Statuto speciale per il Trentino-Alto Adige), e relative norme di attuazione, e dalla Regione Lombardia, in riferimento agli artt. 117, 118 e 119 della Costituzione;</w:t>
      </w:r>
    </w:p>
    <w:p w14:paraId="3D790A38"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 </w:t>
      </w:r>
      <w:r w:rsidRPr="000F257E">
        <w:rPr>
          <w:rFonts w:ascii="Lato" w:eastAsia="Times New Roman" w:hAnsi="Lato" w:cs="Times New Roman"/>
          <w:i/>
          <w:iCs/>
          <w:color w:val="000000"/>
          <w:kern w:val="0"/>
          <w:sz w:val="23"/>
          <w:szCs w:val="23"/>
          <w:lang w:eastAsia="it-IT"/>
          <w14:ligatures w14:val="none"/>
        </w:rPr>
        <w:t>dichiara</w:t>
      </w:r>
      <w:r w:rsidRPr="000F257E">
        <w:rPr>
          <w:rFonts w:ascii="Lato" w:eastAsia="Times New Roman" w:hAnsi="Lato" w:cs="Times New Roman"/>
          <w:color w:val="000000"/>
          <w:kern w:val="0"/>
          <w:sz w:val="23"/>
          <w:szCs w:val="23"/>
          <w:lang w:eastAsia="it-IT"/>
          <w14:ligatures w14:val="none"/>
        </w:rPr>
        <w:t> non fondata la questione di legittimità costituzionale dell'art. 12 della legge 25 febbraio 1992, n.215, sollevata, con i ricorsi indicati in epigrafe, dalla Provincia autonoma di Trento, per violazione della propria autonomia organizzativa e dell'art. 81, quarto comma, della Costituzione, e dalla Regione Lombardia, per violazione della propria autonomia organizzativa e dell'art.81, quarto comma, della Costituzione, in connessione con l'art. 109 del d.P.R.24 luglio 1977, n. 616, l'art. 27 della legge 5 agosto 1978, n. 468 e l'art. 3, sesto comma, della legge 14 giugno 1990, n.158.</w:t>
      </w:r>
    </w:p>
    <w:p w14:paraId="6789D671"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Così deciso in Roma, nella sede della Corte costituzionale, Palazzo della Consulta, il 24/03/93.</w:t>
      </w:r>
    </w:p>
    <w:p w14:paraId="2DF48D8F"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Giuseppe BORZELLINO, Presidente</w:t>
      </w:r>
    </w:p>
    <w:p w14:paraId="19E77EFE"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Antonio BALDASSARRE, Redattore</w:t>
      </w:r>
    </w:p>
    <w:p w14:paraId="60FF9A28" w14:textId="77777777" w:rsidR="000F257E" w:rsidRPr="000F257E" w:rsidRDefault="000F257E" w:rsidP="000F257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0F257E">
        <w:rPr>
          <w:rFonts w:ascii="Lato" w:eastAsia="Times New Roman" w:hAnsi="Lato" w:cs="Times New Roman"/>
          <w:color w:val="000000"/>
          <w:kern w:val="0"/>
          <w:sz w:val="23"/>
          <w:szCs w:val="23"/>
          <w:lang w:eastAsia="it-IT"/>
          <w14:ligatures w14:val="none"/>
        </w:rPr>
        <w:t>Depositata in cancelleria il 26/03/93.</w:t>
      </w:r>
    </w:p>
    <w:p w14:paraId="599910D6"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7E"/>
    <w:rsid w:val="000F257E"/>
    <w:rsid w:val="004056BF"/>
    <w:rsid w:val="004671F7"/>
    <w:rsid w:val="00AD63A7"/>
    <w:rsid w:val="00DC7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1CC7859"/>
  <w15:chartTrackingRefBased/>
  <w15:docId w15:val="{DCE8F349-AA8F-E245-8BB1-14F509FE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0F257E"/>
  </w:style>
  <w:style w:type="character" w:styleId="Collegamentoipertestuale">
    <w:name w:val="Hyperlink"/>
    <w:basedOn w:val="Carpredefinitoparagrafo"/>
    <w:uiPriority w:val="99"/>
    <w:semiHidden/>
    <w:unhideWhenUsed/>
    <w:rsid w:val="000F25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rcost.org/decisioni/1992/0406s-92.html" TargetMode="External"/><Relationship Id="rId3" Type="http://schemas.openxmlformats.org/officeDocument/2006/relationships/webSettings" Target="webSettings.xml"/><Relationship Id="rId7" Type="http://schemas.openxmlformats.org/officeDocument/2006/relationships/hyperlink" Target="https://giurcost.org/decisioni/1992/0366s-9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urcost.org/decisioni/1992/0406s-92.html" TargetMode="External"/><Relationship Id="rId5" Type="http://schemas.openxmlformats.org/officeDocument/2006/relationships/hyperlink" Target="https://giurcost.org/decisioni/1992/0281s-92.html" TargetMode="External"/><Relationship Id="rId10" Type="http://schemas.openxmlformats.org/officeDocument/2006/relationships/theme" Target="theme/theme1.xml"/><Relationship Id="rId4" Type="http://schemas.openxmlformats.org/officeDocument/2006/relationships/hyperlink" Target="https://giurcost.org/decisioni/1992/0202s-92.html"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3528</Words>
  <Characters>20114</Characters>
  <Application>Microsoft Office Word</Application>
  <DocSecurity>0</DocSecurity>
  <Lines>167</Lines>
  <Paragraphs>47</Paragraphs>
  <ScaleCrop>false</ScaleCrop>
  <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3</cp:revision>
  <dcterms:created xsi:type="dcterms:W3CDTF">2023-10-19T16:22:00Z</dcterms:created>
  <dcterms:modified xsi:type="dcterms:W3CDTF">2023-10-29T16:10:00Z</dcterms:modified>
</cp:coreProperties>
</file>