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BC0F" w14:textId="77777777" w:rsidR="005B0837" w:rsidRPr="005B0837" w:rsidRDefault="005B0837" w:rsidP="00E04499">
      <w:pPr>
        <w:shd w:val="clear" w:color="auto" w:fill="FFFFFF"/>
        <w:spacing w:after="100" w:afterAutospacing="1" w:line="720" w:lineRule="atLeast"/>
        <w:ind w:firstLine="567"/>
        <w:jc w:val="center"/>
        <w:outlineLvl w:val="2"/>
        <w:rPr>
          <w:rFonts w:ascii="Lato" w:eastAsia="Times New Roman" w:hAnsi="Lato" w:cs="Times New Roman"/>
          <w:b/>
          <w:iCs/>
          <w:color w:val="000000"/>
          <w:sz w:val="24"/>
          <w:szCs w:val="24"/>
          <w:lang w:eastAsia="it-IT"/>
        </w:rPr>
      </w:pPr>
      <w:r w:rsidRPr="005B0837">
        <w:rPr>
          <w:rFonts w:ascii="Lato" w:eastAsia="Times New Roman" w:hAnsi="Lato" w:cs="Times New Roman"/>
          <w:b/>
          <w:iCs/>
          <w:color w:val="000000"/>
          <w:sz w:val="24"/>
          <w:szCs w:val="24"/>
          <w:lang w:eastAsia="it-IT"/>
        </w:rPr>
        <w:t>138/2010</w:t>
      </w:r>
    </w:p>
    <w:p w14:paraId="19A78DC1" w14:textId="77777777" w:rsidR="00E04499" w:rsidRPr="00E04499" w:rsidRDefault="00E04499" w:rsidP="00E04499">
      <w:pPr>
        <w:shd w:val="clear" w:color="auto" w:fill="FFFFFF"/>
        <w:spacing w:after="100" w:afterAutospacing="1" w:line="720" w:lineRule="atLeast"/>
        <w:ind w:firstLine="567"/>
        <w:jc w:val="center"/>
        <w:outlineLvl w:val="2"/>
        <w:rPr>
          <w:rFonts w:ascii="Lato" w:eastAsia="Times New Roman" w:hAnsi="Lato" w:cs="Times New Roman"/>
          <w:color w:val="000000"/>
          <w:sz w:val="27"/>
          <w:szCs w:val="27"/>
          <w:lang w:eastAsia="it-IT"/>
        </w:rPr>
      </w:pPr>
      <w:r w:rsidRPr="00E04499">
        <w:rPr>
          <w:rFonts w:ascii="Lato" w:eastAsia="Times New Roman" w:hAnsi="Lato" w:cs="Times New Roman"/>
          <w:i/>
          <w:iCs/>
          <w:color w:val="000000"/>
          <w:sz w:val="24"/>
          <w:szCs w:val="24"/>
          <w:lang w:eastAsia="it-IT"/>
        </w:rPr>
        <w:t>Considerato in diritto</w:t>
      </w:r>
    </w:p>
    <w:p w14:paraId="4BF5D3CB"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1. — Il Tribunale di Venezia, con l’ordinanza indicata in epigrafe, ha sollevato, in riferimento agli articoli 2, 3, 29 e 117, primo comma, della Costituzione, questione di legittimità costituzionale degli articoli 93, 96, 98, 107, 108, 143, 143-bis, 156-bis del codice civile, </w:t>
      </w:r>
      <w:r w:rsidRPr="00E04499">
        <w:rPr>
          <w:rFonts w:ascii="Lato" w:eastAsia="Times New Roman" w:hAnsi="Lato" w:cs="Times New Roman"/>
          <w:color w:val="FF0000"/>
          <w:sz w:val="24"/>
          <w:szCs w:val="24"/>
          <w:lang w:eastAsia="it-IT"/>
        </w:rPr>
        <w:t>«nella parte in cui, sistematicamente interpretati, non consentono che le persone di orientamento omosessuale possano contrarre matrimonio con persone dello stesso sesso».</w:t>
      </w:r>
    </w:p>
    <w:p w14:paraId="30CAF2CE"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Il giudice a quo premette di essere chiamato a pronunciare in </w:t>
      </w:r>
      <w:r w:rsidRPr="00E04499">
        <w:rPr>
          <w:rFonts w:ascii="Lato" w:eastAsia="Times New Roman" w:hAnsi="Lato" w:cs="Times New Roman"/>
          <w:color w:val="FF0000"/>
          <w:sz w:val="24"/>
          <w:szCs w:val="24"/>
          <w:lang w:eastAsia="it-IT"/>
        </w:rPr>
        <w:t>un giudizio promosso da due persone di sesso maschile, in opposizione, ai sensi dell’art. 98 di detto codice, avverso l’atto col quale l’ufficiale di stato civile del Comune di Venezia ha rifiutato di procedere alla pubblicazione di matrimonio dagli stessi richiesta</w:t>
      </w:r>
      <w:r w:rsidRPr="00E04499">
        <w:rPr>
          <w:rFonts w:ascii="Lato" w:eastAsia="Times New Roman" w:hAnsi="Lato" w:cs="Times New Roman"/>
          <w:color w:val="000000"/>
          <w:sz w:val="24"/>
          <w:szCs w:val="24"/>
          <w:lang w:eastAsia="it-IT"/>
        </w:rPr>
        <w:t>, ritenendola in contrasto con la normativa vigente, costituzionale e ordinaria, in quanto l’istituto del matrimonio, nell’ordinamento giuridico italiano, sarebbe incentrato sulla diversità di sesso tra i coniugi.</w:t>
      </w:r>
    </w:p>
    <w:p w14:paraId="74D19D6D"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Il Tribunale veneziano riferisce gli argomenti svolti dai ricorrenti, i quali hanno rilevato che, nel vigente ordinamento, non esisterebbe una nozione di matrimonio, né un suo divieto espresso tra persone dello stesso sesso. Essi si richiamano alla Costituzione e alla Carta di Nizza, rimarcando che l’interpretazione letterale delle norme del codice civile, posta a fondamento del diniego delle pubblicazioni, sarebbe costituzionalmente illegittima con particolare riguardo agli artt. 2, 3, 10, secondo comma, e 29 Cost.</w:t>
      </w:r>
    </w:p>
    <w:p w14:paraId="28916193"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Tanto premesso, il rimettente rileva che, nell’ordinamento italiano, il matrimonio tra persone dello stesso sesso non è previsto né vietato in modo espresso. Peraltro, pure in assenza di una norma definitoria, «l’istituto del matrimonio, così come previsto nell’attuale ordinamento italiano, si riferisce indiscutibilmente solo al matrimonio tra persone di sesso diverso». Ad avviso del Tribunale, il chiaro tenore delle disposizioni del codice, regolatrici dell’istituto in questione, non consentirebbe di estenderlo anche a persone dello stesso sesso. Si tratterebbe di una forzatura non consentita ai giudici (diversi da quello costituzionale), «a fronte di una consolidata e </w:t>
      </w:r>
      <w:proofErr w:type="spellStart"/>
      <w:r w:rsidRPr="00E04499">
        <w:rPr>
          <w:rFonts w:ascii="Lato" w:eastAsia="Times New Roman" w:hAnsi="Lato" w:cs="Times New Roman"/>
          <w:color w:val="000000"/>
          <w:sz w:val="24"/>
          <w:szCs w:val="24"/>
          <w:lang w:eastAsia="it-IT"/>
        </w:rPr>
        <w:t>ultramillenaria</w:t>
      </w:r>
      <w:proofErr w:type="spellEnd"/>
      <w:r w:rsidRPr="00E04499">
        <w:rPr>
          <w:rFonts w:ascii="Lato" w:eastAsia="Times New Roman" w:hAnsi="Lato" w:cs="Times New Roman"/>
          <w:color w:val="000000"/>
          <w:sz w:val="24"/>
          <w:szCs w:val="24"/>
          <w:lang w:eastAsia="it-IT"/>
        </w:rPr>
        <w:t xml:space="preserve"> nozione di matrimonio come unione di un uomo e di una donna».</w:t>
      </w:r>
    </w:p>
    <w:p w14:paraId="6C590B5B"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D’altra parte, secondo il Tribunale non si possono ignorare le rapide trasformazioni della società e dei costumi, il superamento del monopolio detenuto dal modello di famiglia tradizionale, la nascita spontanea di forme diverse (seppur minoritarie) di convivenza, che chiedono protezione, si ispirano al modello tradizionale e, come quello, mirano ad essere considerate e disciplinate. Nuovi bisogni, legati anche all’evoluzione della cultura e della civiltà, chiedono tutela, imponendo un’attenta meditazione sulla persistente compatibilità dell’interpretazione tradizionale con i princìpi costituzionali.</w:t>
      </w:r>
    </w:p>
    <w:p w14:paraId="2F15A2C9"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lastRenderedPageBreak/>
        <w:t>Ciò posto, il Tribunale di Venezia, prendendo le mosse dal rilievo che il diritto di sposarsi costituisce un diritto fondamentale della persona, riconosciuto a livello sopranazionale ed in ambito nazionale (art. 2 Cost.), illustra le censure riferite ai diversi parametri costituzionali evocati, pervenendo al convincimento sulla non manifesta infondatezza della questione promossa, che inoltre giudica rilevante perché l’applicazione delle norme censurate non è superabile nel percorso logico-giuridico da compiere al fine di pervenire alla decisione della causa.</w:t>
      </w:r>
    </w:p>
    <w:p w14:paraId="6C12D51B"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2. — La Corte di appello di Trento, con l’altra ordinanza indicata in epigrafe, ha sollevato, in riferimento agli artt. 2, 3 e 29 Cost., questione di legittimità costituzionale degli artt. 93, 96, 98, 107, 108, 143, 143-bis, 156-bis cod. civ., nella parte in cui, complessivamente valutati, non consentono agli individui di contrarre matrimonio con persone dello stesso sesso.</w:t>
      </w:r>
    </w:p>
    <w:p w14:paraId="29864FB7"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La Corte territoriale premette di essere stata adita in sede di reclamo, ai sensi dell’articolo 739 del codice di procedura civile, proposto da due coppie (ciascuna formata da persone dello stesso sesso) avverso il decreto del Tribunale di Trento, che aveva respinto l’opposizione formulata dai reclamanti nei confronti di un provvedimento dell’ufficiale di stato civile del Comune di Trento. Con tale provvedimento il detto funzionario aveva rifiutato di procedere alle pubblicazioni di matrimonio richieste dagli opponenti, non ritenendo ammissibile nell’ordinamento italiano il matrimonio tra persone del medesimo sesso; ed il rifiuto era stato giudicato legittimo dal Tribunale.</w:t>
      </w:r>
    </w:p>
    <w:p w14:paraId="20ACF055"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La Corte rimettente, dopo aver ritenuto infondata la domanda principale diretta ad ottenere l’ordine all’ufficiale di stato civile di procedere alle pubblicazioni, passa all’esame della questione di legittimità costituzionale, in via subordinata proposta dai reclamanti, svolgendo, in relazione alle censure prospettate, considerazioni analoghe a quelle esposte dal Tribunale di Venezia.</w:t>
      </w:r>
    </w:p>
    <w:p w14:paraId="258C9FFB"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3. — I due giudizi di legittimità costituzionale, avendo ad oggetto la medesima questione, vanno riuniti per essere decisi con unica sentenza.</w:t>
      </w:r>
    </w:p>
    <w:p w14:paraId="1EE23561"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4. — In via preliminare, deve essere confermata l’ordinanza, adottata nel corso dell’udienza pubblica ed allegata alla presente sentenza, con la quale sono stati dichiarati inammissibili gli interventi dell’Associazione radicale Certi Diritti e dei signori C. M. e G. V., P. G. B. e C. G. R., R. F. R. P. C. e R. Z. Ciò in applicazione del consolidato orientamento della giurisprudenza costituzionale, richiamato nell’ordinanza, secondo cui non sono ammissibili gli interventi, nel giudizio di legittimità costituzionale in via incidentale, di soggetti che non siano parti nel giudizio a quo, né siano titolari di un interesse qualificato, inerente in modo diretto ed immediato al rapporto sostanziale dedotto in causa e non semplicemente regolato, al pari di ogni altro, dalla norma o dalle norme oggetto di censura, avuto altresì riguardo al rilievo che l’ammissibilità dell’intervento ad opera di un terzo, titolare di un interesse soltanto analogo a quello dedotto nel giudizio principale, contrasterebbe con il carattere incidentale del detto giudizio di legittimità.</w:t>
      </w:r>
    </w:p>
    <w:p w14:paraId="672691DE"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lastRenderedPageBreak/>
        <w:t xml:space="preserve">5. — La questione, sollevata dalle due ordinanze di rimessione, in riferimento all’art. 2 Cost., deve essere dichiarata </w:t>
      </w:r>
      <w:r w:rsidRPr="00E04499">
        <w:rPr>
          <w:rFonts w:ascii="Lato" w:eastAsia="Times New Roman" w:hAnsi="Lato" w:cs="Times New Roman"/>
          <w:color w:val="FF0000"/>
          <w:sz w:val="24"/>
          <w:szCs w:val="24"/>
          <w:lang w:eastAsia="it-IT"/>
        </w:rPr>
        <w:t>inammissibile, perché diretta ad ottenere una pronunzia additiva non costituzionalmente obbligata</w:t>
      </w:r>
      <w:r w:rsidRPr="00E04499">
        <w:rPr>
          <w:rFonts w:ascii="Lato" w:eastAsia="Times New Roman" w:hAnsi="Lato" w:cs="Times New Roman"/>
          <w:color w:val="000000"/>
          <w:sz w:val="24"/>
          <w:szCs w:val="24"/>
          <w:lang w:eastAsia="it-IT"/>
        </w:rPr>
        <w:t xml:space="preserve"> (</w:t>
      </w:r>
      <w:r w:rsidRPr="00E04499">
        <w:rPr>
          <w:rFonts w:ascii="Lato" w:eastAsia="Times New Roman" w:hAnsi="Lato" w:cs="Times New Roman"/>
          <w:i/>
          <w:iCs/>
          <w:color w:val="000000"/>
          <w:sz w:val="24"/>
          <w:szCs w:val="24"/>
          <w:lang w:eastAsia="it-IT"/>
        </w:rPr>
        <w:t>ex </w:t>
      </w:r>
      <w:proofErr w:type="spellStart"/>
      <w:r w:rsidRPr="00E04499">
        <w:rPr>
          <w:rFonts w:ascii="Lato" w:eastAsia="Times New Roman" w:hAnsi="Lato" w:cs="Times New Roman"/>
          <w:i/>
          <w:iCs/>
          <w:color w:val="000000"/>
          <w:sz w:val="24"/>
          <w:szCs w:val="24"/>
          <w:lang w:eastAsia="it-IT"/>
        </w:rPr>
        <w:t>plurimis</w:t>
      </w:r>
      <w:proofErr w:type="spellEnd"/>
      <w:r w:rsidRPr="00E04499">
        <w:rPr>
          <w:rFonts w:ascii="Lato" w:eastAsia="Times New Roman" w:hAnsi="Lato" w:cs="Times New Roman"/>
          <w:color w:val="000000"/>
          <w:sz w:val="24"/>
          <w:szCs w:val="24"/>
          <w:lang w:eastAsia="it-IT"/>
        </w:rPr>
        <w:t>: ordinanze </w:t>
      </w:r>
      <w:hyperlink r:id="rId4" w:history="1">
        <w:r w:rsidRPr="00E04499">
          <w:rPr>
            <w:rFonts w:ascii="Lato" w:eastAsia="Times New Roman" w:hAnsi="Lato" w:cs="Times New Roman"/>
            <w:color w:val="0E10A1"/>
            <w:sz w:val="24"/>
            <w:szCs w:val="24"/>
            <w:u w:val="single"/>
            <w:shd w:val="clear" w:color="auto" w:fill="FBFB68"/>
            <w:lang w:eastAsia="it-IT"/>
          </w:rPr>
          <w:t>n. 243 del 2009</w:t>
        </w:r>
      </w:hyperlink>
      <w:r w:rsidRPr="00E04499">
        <w:rPr>
          <w:rFonts w:ascii="Lato" w:eastAsia="Times New Roman" w:hAnsi="Lato" w:cs="Times New Roman"/>
          <w:color w:val="000000"/>
          <w:sz w:val="24"/>
          <w:szCs w:val="24"/>
          <w:lang w:eastAsia="it-IT"/>
        </w:rPr>
        <w:t>, </w:t>
      </w:r>
      <w:hyperlink r:id="rId5" w:history="1">
        <w:r w:rsidRPr="00E04499">
          <w:rPr>
            <w:rFonts w:ascii="Lato" w:eastAsia="Times New Roman" w:hAnsi="Lato" w:cs="Times New Roman"/>
            <w:color w:val="0E10A1"/>
            <w:sz w:val="24"/>
            <w:szCs w:val="24"/>
            <w:u w:val="single"/>
            <w:shd w:val="clear" w:color="auto" w:fill="FBFB68"/>
            <w:lang w:eastAsia="it-IT"/>
          </w:rPr>
          <w:t>n. 316 del 2008</w:t>
        </w:r>
      </w:hyperlink>
      <w:r w:rsidRPr="00E04499">
        <w:rPr>
          <w:rFonts w:ascii="Lato" w:eastAsia="Times New Roman" w:hAnsi="Lato" w:cs="Times New Roman"/>
          <w:color w:val="000000"/>
          <w:sz w:val="24"/>
          <w:szCs w:val="24"/>
          <w:lang w:eastAsia="it-IT"/>
        </w:rPr>
        <w:t>, </w:t>
      </w:r>
      <w:hyperlink r:id="rId6" w:history="1">
        <w:r w:rsidRPr="00E04499">
          <w:rPr>
            <w:rFonts w:ascii="Lato" w:eastAsia="Times New Roman" w:hAnsi="Lato" w:cs="Times New Roman"/>
            <w:color w:val="0E10A1"/>
            <w:sz w:val="24"/>
            <w:szCs w:val="24"/>
            <w:u w:val="single"/>
            <w:shd w:val="clear" w:color="auto" w:fill="FBFB68"/>
            <w:lang w:eastAsia="it-IT"/>
          </w:rPr>
          <w:t>n. 185 del 2007</w:t>
        </w:r>
      </w:hyperlink>
      <w:r w:rsidRPr="00E04499">
        <w:rPr>
          <w:rFonts w:ascii="Lato" w:eastAsia="Times New Roman" w:hAnsi="Lato" w:cs="Times New Roman"/>
          <w:color w:val="000000"/>
          <w:sz w:val="24"/>
          <w:szCs w:val="24"/>
          <w:lang w:eastAsia="it-IT"/>
        </w:rPr>
        <w:t>, </w:t>
      </w:r>
      <w:hyperlink r:id="rId7" w:history="1">
        <w:r w:rsidRPr="00E04499">
          <w:rPr>
            <w:rFonts w:ascii="Lato" w:eastAsia="Times New Roman" w:hAnsi="Lato" w:cs="Times New Roman"/>
            <w:color w:val="0E10A1"/>
            <w:sz w:val="24"/>
            <w:szCs w:val="24"/>
            <w:u w:val="single"/>
            <w:shd w:val="clear" w:color="auto" w:fill="FBFB68"/>
            <w:lang w:eastAsia="it-IT"/>
          </w:rPr>
          <w:t>n. 463 del 2002</w:t>
        </w:r>
      </w:hyperlink>
      <w:r w:rsidRPr="00E04499">
        <w:rPr>
          <w:rFonts w:ascii="Lato" w:eastAsia="Times New Roman" w:hAnsi="Lato" w:cs="Times New Roman"/>
          <w:color w:val="000000"/>
          <w:sz w:val="24"/>
          <w:szCs w:val="24"/>
          <w:lang w:eastAsia="it-IT"/>
        </w:rPr>
        <w:t>).</w:t>
      </w:r>
    </w:p>
    <w:p w14:paraId="4DB6E45D"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6. — Le dette ordinanze muovono entrambe dal presupposto che l’istituto del matrimonio civile, come previsto nel vigente ordinamento italiano, si riferisce soltanto all’unione stabile tra un uomo e una donna. Questo dato emerge non soltanto dalle norme censurate, ma anche dalla disciplina della filiazione legittima (artt. 231 e ss. cod. civ. e, con particolare riguardo all’azione di disconoscimento, artt. 235, 244 e ss. dello stesso codice), e da altre norme, tra le quali, a titolo di esempio, si può menzionare l’art. 5, primo e secondo comma, della legge 1 dicembre 1970, n. 898 (Disciplina dei casi di scioglimento del matrimonio), nonché dalla normativa in materia di ordinamento dello stato civile.</w:t>
      </w:r>
    </w:p>
    <w:p w14:paraId="7C63A124"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In sostanza, l’intera disciplina dell’istituto, contenuta nel codice civile e nella legislazione speciale, postula la diversità di sesso dei coniugi, nel quadro di «una consolidata ed </w:t>
      </w:r>
      <w:proofErr w:type="spellStart"/>
      <w:r w:rsidRPr="00E04499">
        <w:rPr>
          <w:rFonts w:ascii="Lato" w:eastAsia="Times New Roman" w:hAnsi="Lato" w:cs="Times New Roman"/>
          <w:color w:val="000000"/>
          <w:sz w:val="24"/>
          <w:szCs w:val="24"/>
          <w:lang w:eastAsia="it-IT"/>
        </w:rPr>
        <w:t>ultramillenaria</w:t>
      </w:r>
      <w:proofErr w:type="spellEnd"/>
      <w:r w:rsidRPr="00E04499">
        <w:rPr>
          <w:rFonts w:ascii="Lato" w:eastAsia="Times New Roman" w:hAnsi="Lato" w:cs="Times New Roman"/>
          <w:color w:val="000000"/>
          <w:sz w:val="24"/>
          <w:szCs w:val="24"/>
          <w:lang w:eastAsia="it-IT"/>
        </w:rPr>
        <w:t xml:space="preserve"> nozione di matrimonio», come rileva l’ordinanza del Tribunale veneziano.</w:t>
      </w:r>
    </w:p>
    <w:p w14:paraId="1529EEB9"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Nello stesso senso è la dottrina, in maggioranza orientata a ritenere che l’identità di sesso sia causa d’inesistenza del matrimonio, anche se una parte parla di invalidità. La rara giurisprudenza di legittimità, che (peraltro, come obiter dicta) si è occupata della questione, ha considerato la diversità di sesso dei coniugi tra i requisiti minimi indispensabili per ravvisare l’esistenza del matrimonio (Corte di cassazione, sentenze n. 7877 del 2000, n. 1304 del 1990 e n. 1808 del 1976).</w:t>
      </w:r>
    </w:p>
    <w:p w14:paraId="04B7E07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7. — Ferme le considerazioni che precedono, </w:t>
      </w:r>
      <w:r w:rsidRPr="00E04499">
        <w:rPr>
          <w:rFonts w:ascii="Lato" w:eastAsia="Times New Roman" w:hAnsi="Lato" w:cs="Times New Roman"/>
          <w:color w:val="FF0000"/>
          <w:sz w:val="24"/>
          <w:szCs w:val="24"/>
          <w:lang w:eastAsia="it-IT"/>
        </w:rPr>
        <w:t xml:space="preserve">si deve dunque stabilire se il parametro costituzionale evocato dai rimettenti imponga di pervenire ad una declaratoria d’illegittimità della normativa censurata </w:t>
      </w:r>
      <w:r w:rsidRPr="00E04499">
        <w:rPr>
          <w:rFonts w:ascii="Lato" w:eastAsia="Times New Roman" w:hAnsi="Lato" w:cs="Times New Roman"/>
          <w:color w:val="000000"/>
          <w:sz w:val="24"/>
          <w:szCs w:val="24"/>
          <w:lang w:eastAsia="it-IT"/>
        </w:rPr>
        <w:t xml:space="preserve">(con eventuale applicazione dell’art. 27, ultima parte, della legge 11 marzo 1953, n. 87 – Norme sulla costituzione e sul funzionamento della Corte costituzionale), </w:t>
      </w:r>
      <w:r w:rsidRPr="00E04499">
        <w:rPr>
          <w:rFonts w:ascii="Lato" w:eastAsia="Times New Roman" w:hAnsi="Lato" w:cs="Times New Roman"/>
          <w:color w:val="FF0000"/>
          <w:sz w:val="24"/>
          <w:szCs w:val="24"/>
          <w:lang w:eastAsia="it-IT"/>
        </w:rPr>
        <w:t>estendendo alle unioni omosessuali la disciplina del matrimonio civile, in guisa da colmare il vuoto conseguente al fatto che il legislatore non si è posto il problema del matrimonio omosessuale.</w:t>
      </w:r>
    </w:p>
    <w:p w14:paraId="1D29E921"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8. — L’art. 2 Cost. dispone che la Repubblica riconosce e garantisce i diritti inviolabili dell’uomo, sia come singolo sia nelle formazioni sociali ove si svolge la sua personalità e richiede l’adempimento dei doveri inderogabili di solidarietà politica, economica e sociale.</w:t>
      </w:r>
    </w:p>
    <w:p w14:paraId="6BE1528E"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Orbene, </w:t>
      </w:r>
      <w:r w:rsidRPr="00E04499">
        <w:rPr>
          <w:rFonts w:ascii="Lato" w:eastAsia="Times New Roman" w:hAnsi="Lato" w:cs="Times New Roman"/>
          <w:color w:val="FF0000"/>
          <w:sz w:val="24"/>
          <w:szCs w:val="24"/>
          <w:lang w:eastAsia="it-IT"/>
        </w:rPr>
        <w:t>per formazione sociale deve intendersi ogni forma di comunità, semplice o complessa, idonea a consentire e favorire il libero sviluppo della persona nella vita di relazione, nel contesto di una valorizzazione del modello pluralistico. In tale nozione è da annoverare anche l’unione omosessuale, intesa come stabile convivenza tra due persone dello stesso sesso, cui spetta il diritto fondamentale di vivere liberamente una condizione di coppia, ottenendone – nei tempi, nei modi e nei limiti stabiliti dalla legge – il riconoscimento giuridico con i connessi diritti e doveri</w:t>
      </w:r>
      <w:r w:rsidRPr="00E04499">
        <w:rPr>
          <w:rFonts w:ascii="Lato" w:eastAsia="Times New Roman" w:hAnsi="Lato" w:cs="Times New Roman"/>
          <w:color w:val="000000"/>
          <w:sz w:val="24"/>
          <w:szCs w:val="24"/>
          <w:lang w:eastAsia="it-IT"/>
        </w:rPr>
        <w:t>.</w:t>
      </w:r>
    </w:p>
    <w:p w14:paraId="3E28FAF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FF0000"/>
          <w:sz w:val="24"/>
          <w:szCs w:val="24"/>
          <w:lang w:eastAsia="it-IT"/>
        </w:rPr>
        <w:lastRenderedPageBreak/>
        <w:t xml:space="preserve">Si deve escludere, tuttavia, che l’aspirazione a tale riconoscimento – che necessariamente postula una disciplina di carattere generale, finalizzata a regolare diritti e doveri dei componenti della coppia – possa essere realizzata soltanto attraverso una equiparazione delle unioni omosessuali al matrimonio. </w:t>
      </w:r>
      <w:r w:rsidRPr="00E04499">
        <w:rPr>
          <w:rFonts w:ascii="Lato" w:eastAsia="Times New Roman" w:hAnsi="Lato" w:cs="Times New Roman"/>
          <w:color w:val="000000"/>
          <w:sz w:val="24"/>
          <w:szCs w:val="24"/>
          <w:lang w:eastAsia="it-IT"/>
        </w:rPr>
        <w:t>È sufficiente l’esame, anche non esaustivo, delle legislazioni dei Paesi che finora hanno riconosciuto le unioni suddette per verificare la diversità delle scelte operate.</w:t>
      </w:r>
    </w:p>
    <w:p w14:paraId="452F8B8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Ne deriva, dunque, che, </w:t>
      </w:r>
      <w:r w:rsidRPr="00E04499">
        <w:rPr>
          <w:rFonts w:ascii="Lato" w:eastAsia="Times New Roman" w:hAnsi="Lato" w:cs="Times New Roman"/>
          <w:color w:val="FF0000"/>
          <w:sz w:val="24"/>
          <w:szCs w:val="24"/>
          <w:lang w:eastAsia="it-IT"/>
        </w:rPr>
        <w:t>nell’ambito applicativo dell’art. 2 Cost., spetta al Parlamento, nell’esercizio della sua piena discrezionalità, individuare le forme di garanzia e di riconoscimento per le unioni suddette</w:t>
      </w:r>
      <w:r w:rsidRPr="00E04499">
        <w:rPr>
          <w:rFonts w:ascii="Lato" w:eastAsia="Times New Roman" w:hAnsi="Lato" w:cs="Times New Roman"/>
          <w:color w:val="000000"/>
          <w:sz w:val="24"/>
          <w:szCs w:val="24"/>
          <w:lang w:eastAsia="it-IT"/>
        </w:rPr>
        <w:t>, restando riservata alla Corte costituzionale la possibilità d’intervenire a tutela di specifiche situazioni (come è avvenuto per le convivenze </w:t>
      </w:r>
      <w:r w:rsidRPr="00E04499">
        <w:rPr>
          <w:rFonts w:ascii="Lato" w:eastAsia="Times New Roman" w:hAnsi="Lato" w:cs="Times New Roman"/>
          <w:i/>
          <w:iCs/>
          <w:color w:val="000000"/>
          <w:sz w:val="24"/>
          <w:szCs w:val="24"/>
          <w:lang w:eastAsia="it-IT"/>
        </w:rPr>
        <w:t>more uxorio</w:t>
      </w:r>
      <w:r w:rsidRPr="00E04499">
        <w:rPr>
          <w:rFonts w:ascii="Lato" w:eastAsia="Times New Roman" w:hAnsi="Lato" w:cs="Times New Roman"/>
          <w:color w:val="000000"/>
          <w:sz w:val="24"/>
          <w:szCs w:val="24"/>
          <w:lang w:eastAsia="it-IT"/>
        </w:rPr>
        <w:t>: </w:t>
      </w:r>
      <w:hyperlink r:id="rId8" w:history="1">
        <w:r w:rsidRPr="00E04499">
          <w:rPr>
            <w:rFonts w:ascii="Lato" w:eastAsia="Times New Roman" w:hAnsi="Lato" w:cs="Times New Roman"/>
            <w:color w:val="0E10A1"/>
            <w:sz w:val="24"/>
            <w:szCs w:val="24"/>
            <w:u w:val="single"/>
            <w:shd w:val="clear" w:color="auto" w:fill="FBFB68"/>
            <w:lang w:eastAsia="it-IT"/>
          </w:rPr>
          <w:t>sentenze n. 559 del 1989</w:t>
        </w:r>
      </w:hyperlink>
      <w:r w:rsidRPr="00E04499">
        <w:rPr>
          <w:rFonts w:ascii="Lato" w:eastAsia="Times New Roman" w:hAnsi="Lato" w:cs="Times New Roman"/>
          <w:color w:val="000000"/>
          <w:sz w:val="24"/>
          <w:szCs w:val="24"/>
          <w:lang w:eastAsia="it-IT"/>
        </w:rPr>
        <w:t> e </w:t>
      </w:r>
      <w:hyperlink r:id="rId9" w:history="1">
        <w:r w:rsidRPr="00E04499">
          <w:rPr>
            <w:rFonts w:ascii="Lato" w:eastAsia="Times New Roman" w:hAnsi="Lato" w:cs="Times New Roman"/>
            <w:color w:val="0E10A1"/>
            <w:sz w:val="24"/>
            <w:szCs w:val="24"/>
            <w:u w:val="single"/>
            <w:shd w:val="clear" w:color="auto" w:fill="FBFB68"/>
            <w:lang w:eastAsia="it-IT"/>
          </w:rPr>
          <w:t>n. 404 del 1988</w:t>
        </w:r>
      </w:hyperlink>
      <w:r w:rsidRPr="00E04499">
        <w:rPr>
          <w:rFonts w:ascii="Lato" w:eastAsia="Times New Roman" w:hAnsi="Lato" w:cs="Times New Roman"/>
          <w:color w:val="000000"/>
          <w:sz w:val="24"/>
          <w:szCs w:val="24"/>
          <w:lang w:eastAsia="it-IT"/>
        </w:rPr>
        <w:t>). Può accadere, infatti, che, in relazione ad ipotesi particolari, sia riscontrabile la necessità di un trattamento omogeneo tra la condizione della coppia coniugata e quella della coppia omosessuale, trattamento che questa Corte può garantire con il controllo di ragionevolezza.</w:t>
      </w:r>
    </w:p>
    <w:p w14:paraId="4C077DD3"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FF0000"/>
          <w:sz w:val="23"/>
          <w:szCs w:val="23"/>
          <w:lang w:eastAsia="it-IT"/>
        </w:rPr>
      </w:pPr>
      <w:r w:rsidRPr="00E04499">
        <w:rPr>
          <w:rFonts w:ascii="Lato" w:eastAsia="Times New Roman" w:hAnsi="Lato" w:cs="Times New Roman"/>
          <w:color w:val="000000"/>
          <w:sz w:val="24"/>
          <w:szCs w:val="24"/>
          <w:lang w:eastAsia="it-IT"/>
        </w:rPr>
        <w:t xml:space="preserve">9. — La questione sollevata con riferimento ai parametri individuati </w:t>
      </w:r>
      <w:r w:rsidRPr="00E04499">
        <w:rPr>
          <w:rFonts w:ascii="Lato" w:eastAsia="Times New Roman" w:hAnsi="Lato" w:cs="Times New Roman"/>
          <w:color w:val="FF0000"/>
          <w:sz w:val="24"/>
          <w:szCs w:val="24"/>
          <w:lang w:eastAsia="it-IT"/>
        </w:rPr>
        <w:t>negli artt. 3 e 29 Cost. non è fondata.</w:t>
      </w:r>
    </w:p>
    <w:p w14:paraId="5672D6B3"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Occorre prendere le mosse, per ragioni di ordine logico, da quest’ultima disposizione. Essa stabilisce, nel primo comma, che «La Repubblica riconosce i diritti della famiglia come società naturale fondata sul matrimonio», e nel secondo comma aggiunge che «Il matrimonio è ordinato sulla eguaglianza morale e giuridica dei coniugi, con i limiti stabiliti dalla legge a garanzia dell’unità familiare».</w:t>
      </w:r>
    </w:p>
    <w:p w14:paraId="0EA38312"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La norma, che ha dato luogo ad un vivace confronto dottrinale tuttora aperto, pone il matrimonio a fondamento della famiglia legittima, definita "società naturale” (con tale espressione, come si desume dai lavori preparatori dell’Assemblea costituente, si volle sottolineare che la famiglia contemplata dalla norma aveva dei diritti originari e preesistenti allo Stato, che questo doveva riconoscere).</w:t>
      </w:r>
    </w:p>
    <w:p w14:paraId="31E80E8D"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Ciò posto, è vero che </w:t>
      </w:r>
      <w:r w:rsidRPr="00ED3645">
        <w:rPr>
          <w:rFonts w:ascii="Lato" w:eastAsia="Times New Roman" w:hAnsi="Lato" w:cs="Times New Roman"/>
          <w:color w:val="FF0000"/>
          <w:sz w:val="24"/>
          <w:szCs w:val="24"/>
          <w:lang w:eastAsia="it-IT"/>
        </w:rPr>
        <w:t>i concetti di famiglia e di matrimonio non si possono ritenere "cristallizzati”</w:t>
      </w:r>
      <w:r w:rsidRPr="00E04499">
        <w:rPr>
          <w:rFonts w:ascii="Lato" w:eastAsia="Times New Roman" w:hAnsi="Lato" w:cs="Times New Roman"/>
          <w:color w:val="000000"/>
          <w:sz w:val="24"/>
          <w:szCs w:val="24"/>
          <w:lang w:eastAsia="it-IT"/>
        </w:rPr>
        <w:t xml:space="preserve"> con riferimento all’epoca in cui la Costituzione entrò in vigore, perché sono dotati della </w:t>
      </w:r>
      <w:r w:rsidRPr="00ED3645">
        <w:rPr>
          <w:rFonts w:ascii="Lato" w:eastAsia="Times New Roman" w:hAnsi="Lato" w:cs="Times New Roman"/>
          <w:color w:val="FF0000"/>
          <w:sz w:val="24"/>
          <w:szCs w:val="24"/>
          <w:lang w:eastAsia="it-IT"/>
        </w:rPr>
        <w:t xml:space="preserve">duttilità propria dei princìpi costituzionali </w:t>
      </w:r>
      <w:r w:rsidRPr="00E04499">
        <w:rPr>
          <w:rFonts w:ascii="Lato" w:eastAsia="Times New Roman" w:hAnsi="Lato" w:cs="Times New Roman"/>
          <w:color w:val="000000"/>
          <w:sz w:val="24"/>
          <w:szCs w:val="24"/>
          <w:lang w:eastAsia="it-IT"/>
        </w:rPr>
        <w:t xml:space="preserve">e, quindi, vanno interpretati tenendo conto non soltanto delle trasformazioni dell’ordinamento, ma anche dell’evoluzione della società e dei costumi. Detta interpretazione, però, non può spingersi fino al punto </w:t>
      </w:r>
      <w:r w:rsidRPr="00ED3645">
        <w:rPr>
          <w:rFonts w:ascii="Lato" w:eastAsia="Times New Roman" w:hAnsi="Lato" w:cs="Times New Roman"/>
          <w:color w:val="FF0000"/>
          <w:sz w:val="24"/>
          <w:szCs w:val="24"/>
          <w:lang w:eastAsia="it-IT"/>
        </w:rPr>
        <w:t>d’incidere sul nucleo della norma,</w:t>
      </w:r>
      <w:r w:rsidRPr="00E04499">
        <w:rPr>
          <w:rFonts w:ascii="Lato" w:eastAsia="Times New Roman" w:hAnsi="Lato" w:cs="Times New Roman"/>
          <w:color w:val="000000"/>
          <w:sz w:val="24"/>
          <w:szCs w:val="24"/>
          <w:lang w:eastAsia="it-IT"/>
        </w:rPr>
        <w:t xml:space="preserve"> modificandola in modo tale da includere in essa fenomeni e problematiche non considerati in alcun modo quando fu emanata.</w:t>
      </w:r>
    </w:p>
    <w:p w14:paraId="2E82F5DD" w14:textId="77777777" w:rsidR="00E04499" w:rsidRPr="00ED3645" w:rsidRDefault="00E04499" w:rsidP="00E04499">
      <w:pPr>
        <w:shd w:val="clear" w:color="auto" w:fill="FFFFFF"/>
        <w:spacing w:after="150" w:line="338" w:lineRule="atLeast"/>
        <w:ind w:firstLine="567"/>
        <w:jc w:val="both"/>
        <w:rPr>
          <w:rFonts w:ascii="Lato" w:eastAsia="Times New Roman" w:hAnsi="Lato" w:cs="Times New Roman"/>
          <w:color w:val="FF0000"/>
          <w:sz w:val="23"/>
          <w:szCs w:val="23"/>
          <w:lang w:eastAsia="it-IT"/>
        </w:rPr>
      </w:pPr>
      <w:r w:rsidRPr="00E04499">
        <w:rPr>
          <w:rFonts w:ascii="Lato" w:eastAsia="Times New Roman" w:hAnsi="Lato" w:cs="Times New Roman"/>
          <w:color w:val="000000"/>
          <w:sz w:val="24"/>
          <w:szCs w:val="24"/>
          <w:lang w:eastAsia="it-IT"/>
        </w:rPr>
        <w:t xml:space="preserve">Infatti, come risulta dai citati lavori preparatori, </w:t>
      </w:r>
      <w:r w:rsidRPr="00ED3645">
        <w:rPr>
          <w:rFonts w:ascii="Lato" w:eastAsia="Times New Roman" w:hAnsi="Lato" w:cs="Times New Roman"/>
          <w:color w:val="FF0000"/>
          <w:sz w:val="24"/>
          <w:szCs w:val="24"/>
          <w:lang w:eastAsia="it-IT"/>
        </w:rPr>
        <w:t>la questione delle unioni omosessuali rimase del tutto estranea al dibattito svoltosi in sede di Assemblea</w:t>
      </w:r>
      <w:r w:rsidRPr="00E04499">
        <w:rPr>
          <w:rFonts w:ascii="Lato" w:eastAsia="Times New Roman" w:hAnsi="Lato" w:cs="Times New Roman"/>
          <w:color w:val="000000"/>
          <w:sz w:val="24"/>
          <w:szCs w:val="24"/>
          <w:lang w:eastAsia="it-IT"/>
        </w:rPr>
        <w:t xml:space="preserve">, benché la condizione omosessuale non fosse certo sconosciuta. I costituenti, elaborando l’art. 29 Cost., discussero di un istituto che aveva una precisa conformazione ed un’articolata disciplina nell’ordinamento civile. Pertanto, in assenza di diversi riferimenti, è inevitabile concludere che </w:t>
      </w:r>
      <w:r w:rsidRPr="00ED3645">
        <w:rPr>
          <w:rFonts w:ascii="Lato" w:eastAsia="Times New Roman" w:hAnsi="Lato" w:cs="Times New Roman"/>
          <w:color w:val="FF0000"/>
          <w:sz w:val="24"/>
          <w:szCs w:val="24"/>
          <w:lang w:eastAsia="it-IT"/>
        </w:rPr>
        <w:t xml:space="preserve">essi tennero presente la nozione di matrimonio definita dal codice civile </w:t>
      </w:r>
      <w:r w:rsidRPr="00E04499">
        <w:rPr>
          <w:rFonts w:ascii="Lato" w:eastAsia="Times New Roman" w:hAnsi="Lato" w:cs="Times New Roman"/>
          <w:color w:val="000000"/>
          <w:sz w:val="24"/>
          <w:szCs w:val="24"/>
          <w:lang w:eastAsia="it-IT"/>
        </w:rPr>
        <w:t xml:space="preserve">entrato in vigore </w:t>
      </w:r>
      <w:r w:rsidRPr="00E04499">
        <w:rPr>
          <w:rFonts w:ascii="Lato" w:eastAsia="Times New Roman" w:hAnsi="Lato" w:cs="Times New Roman"/>
          <w:color w:val="000000"/>
          <w:sz w:val="24"/>
          <w:szCs w:val="24"/>
          <w:lang w:eastAsia="it-IT"/>
        </w:rPr>
        <w:lastRenderedPageBreak/>
        <w:t xml:space="preserve">nel 1942, che, come sopra si è visto, stabiliva (e tuttora stabilisce) che i coniugi dovessero essere persone di sesso diverso. </w:t>
      </w:r>
      <w:r w:rsidRPr="00ED3645">
        <w:rPr>
          <w:rFonts w:ascii="Lato" w:eastAsia="Times New Roman" w:hAnsi="Lato" w:cs="Times New Roman"/>
          <w:color w:val="FF0000"/>
          <w:sz w:val="24"/>
          <w:szCs w:val="24"/>
          <w:lang w:eastAsia="it-IT"/>
        </w:rPr>
        <w:t>In tal senso orienta anche il secondo comma della disposizione che, affermando il principio dell’eguaglianza morale e giuridica dei coniugi, ebbe riguardo proprio alla posizione della donna cui intendeva attribuire pari dignità e diritti nel rapporto coniugale.</w:t>
      </w:r>
    </w:p>
    <w:p w14:paraId="711EF36D"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FF0000"/>
          <w:sz w:val="23"/>
          <w:szCs w:val="23"/>
          <w:lang w:eastAsia="it-IT"/>
        </w:rPr>
      </w:pPr>
      <w:r w:rsidRPr="00E04499">
        <w:rPr>
          <w:rFonts w:ascii="Lato" w:eastAsia="Times New Roman" w:hAnsi="Lato" w:cs="Times New Roman"/>
          <w:color w:val="FF0000"/>
          <w:sz w:val="24"/>
          <w:szCs w:val="24"/>
          <w:lang w:eastAsia="it-IT"/>
        </w:rPr>
        <w:t>Questo significato del precetto costituzionale non può essere superato per via ermeneutica, perché non si tratterebbe di una semplice rilettura del sistema o di abbandonare una mera prassi interpretativa, bensì di procedere ad un’interpretazione creativa.</w:t>
      </w:r>
    </w:p>
    <w:p w14:paraId="4B6D9C2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FF0000"/>
          <w:sz w:val="24"/>
          <w:szCs w:val="24"/>
          <w:lang w:eastAsia="it-IT"/>
        </w:rPr>
        <w:t>Si deve ribadire, dunque, che la norma non prese in considerazione le unioni omosessuali, bensì intese riferirsi al matrimonio nel significato tradizionale di detto istituto</w:t>
      </w:r>
      <w:r w:rsidRPr="00E04499">
        <w:rPr>
          <w:rFonts w:ascii="Lato" w:eastAsia="Times New Roman" w:hAnsi="Lato" w:cs="Times New Roman"/>
          <w:color w:val="000000"/>
          <w:sz w:val="24"/>
          <w:szCs w:val="24"/>
          <w:lang w:eastAsia="it-IT"/>
        </w:rPr>
        <w:t>.</w:t>
      </w:r>
    </w:p>
    <w:p w14:paraId="470B574F"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Non è casuale, del resto, che la Carta costituzionale, dopo aver trattato del matrimonio, abbia ritenuto necessario occuparsi della </w:t>
      </w:r>
      <w:r w:rsidRPr="00E04499">
        <w:rPr>
          <w:rFonts w:ascii="Lato" w:eastAsia="Times New Roman" w:hAnsi="Lato" w:cs="Times New Roman"/>
          <w:color w:val="FF0000"/>
          <w:sz w:val="24"/>
          <w:szCs w:val="24"/>
          <w:lang w:eastAsia="it-IT"/>
        </w:rPr>
        <w:t xml:space="preserve">tutela dei figli </w:t>
      </w:r>
      <w:r w:rsidRPr="00E04499">
        <w:rPr>
          <w:rFonts w:ascii="Lato" w:eastAsia="Times New Roman" w:hAnsi="Lato" w:cs="Times New Roman"/>
          <w:color w:val="000000"/>
          <w:sz w:val="24"/>
          <w:szCs w:val="24"/>
          <w:lang w:eastAsia="it-IT"/>
        </w:rPr>
        <w:t>(art. 30), assicurando parità di trattamento anche a quelli nati fuori dal matrimonio, sia pur compatibilmente con i membri della famiglia legittima. La giusta e doverosa tutela, garantita ai figli naturali, nulla toglie al rilievo costituzionale attribuito alla famiglia legittima ed alla (</w:t>
      </w:r>
      <w:r w:rsidRPr="00ED3645">
        <w:rPr>
          <w:rFonts w:ascii="Lato" w:eastAsia="Times New Roman" w:hAnsi="Lato" w:cs="Times New Roman"/>
          <w:color w:val="FF0000"/>
          <w:sz w:val="24"/>
          <w:szCs w:val="24"/>
          <w:lang w:eastAsia="it-IT"/>
        </w:rPr>
        <w:t>potenziale) finalità procreativa del matrimonio che vale a differenziarlo dall’unione omosessuale</w:t>
      </w:r>
      <w:r w:rsidRPr="00E04499">
        <w:rPr>
          <w:rFonts w:ascii="Lato" w:eastAsia="Times New Roman" w:hAnsi="Lato" w:cs="Times New Roman"/>
          <w:color w:val="000000"/>
          <w:sz w:val="24"/>
          <w:szCs w:val="24"/>
          <w:lang w:eastAsia="it-IT"/>
        </w:rPr>
        <w:t>.</w:t>
      </w:r>
    </w:p>
    <w:p w14:paraId="192149D1"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In questo quadro, </w:t>
      </w:r>
      <w:r w:rsidRPr="00E04499">
        <w:rPr>
          <w:rFonts w:ascii="Lato" w:eastAsia="Times New Roman" w:hAnsi="Lato" w:cs="Times New Roman"/>
          <w:color w:val="FF0000"/>
          <w:sz w:val="24"/>
          <w:szCs w:val="24"/>
          <w:lang w:eastAsia="it-IT"/>
        </w:rPr>
        <w:t>con riferimento all’art. 3 Cost., la censurata normativa del codice civile che, per quanto sopra detto, contempla esclusivamente il matrimonio tra uomo e donna, non può considerarsi illegittima sul piano costituzionale. Ciò sia perché essa trova fondamento nel citato art. 29 Cost., sia perché la normativa medesima non dà luogo ad una irragionevole discriminazione, in quanto le unioni omosessuali non possono essere ritenute omogenee al matrimonio</w:t>
      </w:r>
      <w:r w:rsidRPr="00E04499">
        <w:rPr>
          <w:rFonts w:ascii="Lato" w:eastAsia="Times New Roman" w:hAnsi="Lato" w:cs="Times New Roman"/>
          <w:color w:val="000000"/>
          <w:sz w:val="24"/>
          <w:szCs w:val="24"/>
          <w:lang w:eastAsia="it-IT"/>
        </w:rPr>
        <w:t>.</w:t>
      </w:r>
    </w:p>
    <w:p w14:paraId="2D19A1C8"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Il richiamo, contenuto nell’ordinanza di rimessione del Tribunale di Venezia, alla legge 14 aprile 1982, n. 164 (Norme in materia di rettificazione di attribuzione di sesso), non è pertinente.</w:t>
      </w:r>
    </w:p>
    <w:p w14:paraId="4B603ABD"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La normativa ora citata – sottoposta a scrutinio da questa Corte che, con </w:t>
      </w:r>
      <w:hyperlink r:id="rId10" w:history="1">
        <w:r w:rsidRPr="00E04499">
          <w:rPr>
            <w:rFonts w:ascii="Lato" w:eastAsia="Times New Roman" w:hAnsi="Lato" w:cs="Times New Roman"/>
            <w:color w:val="0E10A1"/>
            <w:sz w:val="24"/>
            <w:szCs w:val="24"/>
            <w:u w:val="single"/>
            <w:shd w:val="clear" w:color="auto" w:fill="FBFB68"/>
            <w:lang w:eastAsia="it-IT"/>
          </w:rPr>
          <w:t>sentenza n. 161 del 1985</w:t>
        </w:r>
      </w:hyperlink>
      <w:r w:rsidRPr="00E04499">
        <w:rPr>
          <w:rFonts w:ascii="Lato" w:eastAsia="Times New Roman" w:hAnsi="Lato" w:cs="Times New Roman"/>
          <w:color w:val="000000"/>
          <w:sz w:val="24"/>
          <w:szCs w:val="24"/>
          <w:lang w:eastAsia="it-IT"/>
        </w:rPr>
        <w:t>, dichiarò inammissibili o non fondate le questioni di legittimità costituzionale all’epoca promosse – prevede la rettificazione dell’attribuzione di sesso in forza di sentenza del tribunale, passata in giudicato, che attribuisca ad una persona un sesso diverso da quello enunciato dall’atto di nascita, a seguito di intervenute modificazioni dei suoi caratteri sessuali (art. 1).</w:t>
      </w:r>
    </w:p>
    <w:p w14:paraId="45BA50A2"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Come si vede, si tratta di una condizione del tutto differente da quella omosessuale e, perciò, inidonea a fungere da </w:t>
      </w:r>
      <w:proofErr w:type="spellStart"/>
      <w:r w:rsidRPr="00E04499">
        <w:rPr>
          <w:rFonts w:ascii="Lato" w:eastAsia="Times New Roman" w:hAnsi="Lato" w:cs="Times New Roman"/>
          <w:color w:val="000000"/>
          <w:sz w:val="24"/>
          <w:szCs w:val="24"/>
          <w:lang w:eastAsia="it-IT"/>
        </w:rPr>
        <w:t>tertium</w:t>
      </w:r>
      <w:proofErr w:type="spellEnd"/>
      <w:r w:rsidRPr="00E04499">
        <w:rPr>
          <w:rFonts w:ascii="Lato" w:eastAsia="Times New Roman" w:hAnsi="Lato" w:cs="Times New Roman"/>
          <w:color w:val="000000"/>
          <w:sz w:val="24"/>
          <w:szCs w:val="24"/>
          <w:lang w:eastAsia="it-IT"/>
        </w:rPr>
        <w:t xml:space="preserve"> </w:t>
      </w:r>
      <w:proofErr w:type="spellStart"/>
      <w:r w:rsidRPr="00E04499">
        <w:rPr>
          <w:rFonts w:ascii="Lato" w:eastAsia="Times New Roman" w:hAnsi="Lato" w:cs="Times New Roman"/>
          <w:color w:val="000000"/>
          <w:sz w:val="24"/>
          <w:szCs w:val="24"/>
          <w:lang w:eastAsia="it-IT"/>
        </w:rPr>
        <w:t>comparationis</w:t>
      </w:r>
      <w:proofErr w:type="spellEnd"/>
      <w:r w:rsidRPr="00E04499">
        <w:rPr>
          <w:rFonts w:ascii="Lato" w:eastAsia="Times New Roman" w:hAnsi="Lato" w:cs="Times New Roman"/>
          <w:color w:val="000000"/>
          <w:sz w:val="24"/>
          <w:szCs w:val="24"/>
          <w:lang w:eastAsia="it-IT"/>
        </w:rPr>
        <w:t>. Nel transessuale, infatti, l’esigenza fondamentale da soddisfare è quella di far coincidere il soma con la psiche ed a questo effetto è indispensabile, di regola, l’intervento chirurgico che, con la conseguente rettificazione anagrafica, riesce in genere a realizzare tale coincidenza (</w:t>
      </w:r>
      <w:hyperlink r:id="rId11" w:history="1">
        <w:r w:rsidRPr="00E04499">
          <w:rPr>
            <w:rFonts w:ascii="Lato" w:eastAsia="Times New Roman" w:hAnsi="Lato" w:cs="Times New Roman"/>
            <w:color w:val="0E10A1"/>
            <w:sz w:val="24"/>
            <w:szCs w:val="24"/>
            <w:u w:val="single"/>
            <w:shd w:val="clear" w:color="auto" w:fill="FBFB68"/>
            <w:lang w:eastAsia="it-IT"/>
          </w:rPr>
          <w:t>sentenza n. 161 del 1985, punto tre del Considerato in diritto</w:t>
        </w:r>
      </w:hyperlink>
      <w:r w:rsidRPr="00E04499">
        <w:rPr>
          <w:rFonts w:ascii="Lato" w:eastAsia="Times New Roman" w:hAnsi="Lato" w:cs="Times New Roman"/>
          <w:color w:val="000000"/>
          <w:sz w:val="24"/>
          <w:szCs w:val="24"/>
          <w:lang w:eastAsia="it-IT"/>
        </w:rPr>
        <w:t xml:space="preserve">). La persona è ammessa al matrimonio per l’avvenuto intervento di modificazione del sesso, autorizzato dal tribunale. Il riconoscimento del diritto di sposarsi a </w:t>
      </w:r>
      <w:r w:rsidRPr="00E04499">
        <w:rPr>
          <w:rFonts w:ascii="Lato" w:eastAsia="Times New Roman" w:hAnsi="Lato" w:cs="Times New Roman"/>
          <w:color w:val="000000"/>
          <w:sz w:val="24"/>
          <w:szCs w:val="24"/>
          <w:lang w:eastAsia="it-IT"/>
        </w:rPr>
        <w:lastRenderedPageBreak/>
        <w:t>coloro che hanno cambiato sesso, quindi, costituisce semmai un argomento per confermare il carattere eterosessuale del matrimonio, quale previsto nel vigente ordinamento.</w:t>
      </w:r>
    </w:p>
    <w:p w14:paraId="17B426E1"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10. — Resta da esaminare il parametro riferito all’art. 117, primo comma, Cost. (prospettato soltanto nell’ordinanza del Tribunale di Venezia).</w:t>
      </w:r>
    </w:p>
    <w:p w14:paraId="754438E9"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Il rimettente in primo luogo evoca, quali norme interposte, gli artt. 8 (diritto al rispetto della vita privata e familiare), 12 (diritto al matrimonio) e 14 (divieto di discriminazione) della Convenzione europea per la salvaguardia dei diritti dell’uomo e delle libertà fondamentali (CEDU), ratificata e resa esecutiva con legge 4 agosto 1955, n. 848 (Ratifica ed esecuzione della Convenzione per la salvaguardia dei diritti dell’uomo e delle libertà fondamentali, firmata a Roma il 4 novembre 1950, e del Protocollo addizionale alla Convenzione stessa, firmato a Parigi il 20 marzo 1952); pone l’accento su una sentenza della Corte europea dei diritti dell’uomo (</w:t>
      </w:r>
      <w:hyperlink r:id="rId12" w:history="1">
        <w:r w:rsidRPr="00E04499">
          <w:rPr>
            <w:rFonts w:ascii="Lato" w:eastAsia="Times New Roman" w:hAnsi="Lato" w:cs="Times New Roman"/>
            <w:color w:val="0E10A1"/>
            <w:sz w:val="24"/>
            <w:szCs w:val="24"/>
            <w:u w:val="single"/>
            <w:shd w:val="clear" w:color="auto" w:fill="FBFB68"/>
            <w:lang w:eastAsia="it-IT"/>
          </w:rPr>
          <w:t>in causa C. Goodwin c. Regno Unito, 11 luglio 2002</w:t>
        </w:r>
      </w:hyperlink>
      <w:r w:rsidRPr="00E04499">
        <w:rPr>
          <w:rFonts w:ascii="Lato" w:eastAsia="Times New Roman" w:hAnsi="Lato" w:cs="Times New Roman"/>
          <w:color w:val="000000"/>
          <w:sz w:val="24"/>
          <w:szCs w:val="24"/>
          <w:lang w:eastAsia="it-IT"/>
        </w:rPr>
        <w:t>), che dichiarò contrario alla Convenzione il divieto di matrimonio del transessuale (dopo l’operazione) con persona del suo stesso sesso originario, sostenendo l’analogia della fattispecie con quella del matrimonio omosessuale; evoca altresì la Carta di Nizza (Carta dei diritti fondamentali dell’Unione Europea) e, in particolare, l’art. 7 (diritto al rispetto della vita privata e familiare), l’art. 9 (diritto a sposarsi ed a costituire una famiglia), l’art. 21 (diritto a non essere discriminati); menziona varie risoluzioni delle Istituzioni europee, «che da tempo invitano gli Stati a rimuovere gli ostacoli che si frappongono al matrimonio di coppie omosessuali ovvero al riconoscimento di istituti giuridici equivalenti»; infine, segnala che nell’ordinamento di molti Stati, aventi civiltà giuridica affine a quella italiana, si sta delineando una nozione di relazioni familiari tale da includere le coppie omosessuali.</w:t>
      </w:r>
    </w:p>
    <w:p w14:paraId="5548452B"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Ciò posto, si deve osservare che: a) il richiamo alla citata sentenza della Corte europea non è pertinente, perché essa riguarda una fattispecie, disciplinata dal diritto inglese, concernente il caso di un transessuale che, dopo l’operazione, avendo acquisito caratteri femminili (sentenza cit., punti 12-13) aveva avviato una relazione con un uomo, col quale però non poteva sposarsi «perché la legge l’ha considerata come uomo» (punto 95). Tale fattispecie, nel diritto italiano, avrebbe trovato disciplina e soluzione nell’ambito della legge n. 164 del 1982. E, comunque, già si è notato che le posizioni dei transessuali e degli omosessuali non sono omogenee (v. precedente paragrafo 9); b) sia gli artt. 8 e 14 della CEDU, sia gli artt. 7 e 21 della Carta di Nizza contengono disposizioni a carattere generale in ordine al diritto al rispetto della vita privata e familiare e al divieto di discriminazione, peraltro in larga parte analoghe. Invece gli articoli 12 della CEDU e 9 della Carta di Nizza prevedono specificamente il diritto di sposarsi e di costituire una famiglia. Per il principio di specialità, dunque, sono queste ultime le norme cui occorre fare riferimento nel caso in esame.</w:t>
      </w:r>
    </w:p>
    <w:p w14:paraId="50926C7E"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Orbene, l’art. 12 dispone che «Uomini e donne in età maritale hanno diritto di sposarsi e di formare una famiglia secondo le leggi nazionali regolanti l’esercizio di tale diritto».</w:t>
      </w:r>
    </w:p>
    <w:p w14:paraId="1C5910DE"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A sua volta l’art. 9 stabilisce che «Il diritto di sposarsi e il diritto di costituire una famiglia sono garantiti secondo le leggi nazionali che ne disciplinano l’esercizio».</w:t>
      </w:r>
    </w:p>
    <w:p w14:paraId="1FE8C82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lastRenderedPageBreak/>
        <w:t>In ordine a quest’ultima disposizione va premesso che la Carta di Nizza è stata recepita dal Trattato di Lisbona, modificativo del Trattato sull’Unione europea e del Trattato che istituisce la Comunità europea, entrato in vigore il 1° dicembre 2009. Infatti, il nuovo testo dell’art. 6, comma 1, del Trattato sull’Unione europea, introdotto dal Trattato di Lisbona, prevede che «1. L’Unione riconosce i diritti, le libertà e i princìpi sanciti nella Carta dei diritti fondamentali dell’Unione europea del 7 dicembre 2000, adattata il 12 dicembre 2007 a Strasburgo, che ha lo stesso valore giuridico dei trattati».</w:t>
      </w:r>
    </w:p>
    <w:p w14:paraId="4052454C"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 xml:space="preserve">Non occorre, ai fini del presente giudizio, affrontare i problemi che l’entrata in vigore del Trattato pone nell’ambito dell’ordinamento dell’Unione e degli ordinamenti nazionali, specialmente con riguardo all’art. 51 della Carta, che ne disciplina l’ambito di applicazione. Ai fini della presente pronuncia si deve rilevare che l’art. 9 della Carta (come, del resto, l’art. 12 della CEDU), nell’affermare il diritto di sposarsi rinvia alle leggi nazionali che ne disciplinano l’esercizio. Si deve aggiungere che le spiegazioni relative alla Carta dei diritti fondamentali, elaborate sotto l’autorità del </w:t>
      </w:r>
      <w:proofErr w:type="spellStart"/>
      <w:r w:rsidRPr="00E04499">
        <w:rPr>
          <w:rFonts w:ascii="Lato" w:eastAsia="Times New Roman" w:hAnsi="Lato" w:cs="Times New Roman"/>
          <w:color w:val="000000"/>
          <w:sz w:val="24"/>
          <w:szCs w:val="24"/>
          <w:lang w:eastAsia="it-IT"/>
        </w:rPr>
        <w:t>praesidium</w:t>
      </w:r>
      <w:proofErr w:type="spellEnd"/>
      <w:r w:rsidRPr="00E04499">
        <w:rPr>
          <w:rFonts w:ascii="Lato" w:eastAsia="Times New Roman" w:hAnsi="Lato" w:cs="Times New Roman"/>
          <w:color w:val="000000"/>
          <w:sz w:val="24"/>
          <w:szCs w:val="24"/>
          <w:lang w:eastAsia="it-IT"/>
        </w:rPr>
        <w:t xml:space="preserve"> della Convenzione che l’aveva redatta (e che, pur non avendo status di legge, rappresentano un indubbio strumento di interpretazione), con riferimento al detto art. 9 chiariscono (tra l’altro) che «L’articolo non vieta né impone la concessione dello status matrimoniale a unioni tra persone dello stesso sesso».</w:t>
      </w:r>
    </w:p>
    <w:p w14:paraId="2F394E0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Pertanto, a parte il riferimento esplicito agli uomini ed alle donne, è comunque decisivo il rilievo che anche la citata normativa non impone la piena equiparazione alle unioni omosessuali delle regole previste per le unioni matrimoniali tra uomo e donna.</w:t>
      </w:r>
    </w:p>
    <w:p w14:paraId="4472243A"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Ancora una volta, con il rinvio alle leggi nazionali, si ha la conferma che la materia è affidata alla discrezionalità del Parlamento.</w:t>
      </w:r>
    </w:p>
    <w:p w14:paraId="69E490D2"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Ulteriore riscontro di ciò si desume, come già si è accennato, dall’esame delle scelte e delle soluzioni adottate da numerosi Paesi che hanno introdotto, in alcuni casi, una vera e propria estensione alle unioni omosessuali della disciplina prevista per il matrimonio civile oppure, più frequentemente, forme di tutela molto differenziate e che vanno, dalla tendenziale assimilabilità al matrimonio delle dette unioni, fino alla chiara distinzione, sul piano degli effetti, rispetto allo stesso.</w:t>
      </w:r>
    </w:p>
    <w:p w14:paraId="0094BAA2"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Sulla base delle suddette considerazioni si deve pervenire ad una declaratoria d’inammissibilità della questione proposta dai rimettenti, con riferimento all’art. 117, primo comma, Cost.</w:t>
      </w:r>
    </w:p>
    <w:p w14:paraId="64C8935E" w14:textId="77777777" w:rsidR="00E04499" w:rsidRPr="00E04499" w:rsidRDefault="00E04499" w:rsidP="00E04499">
      <w:pPr>
        <w:shd w:val="clear" w:color="auto" w:fill="FFFFFF"/>
        <w:spacing w:after="150" w:line="338" w:lineRule="atLeast"/>
        <w:ind w:firstLine="567"/>
        <w:jc w:val="center"/>
        <w:rPr>
          <w:rFonts w:ascii="Lato" w:eastAsia="Times New Roman" w:hAnsi="Lato" w:cs="Times New Roman"/>
          <w:color w:val="000000"/>
          <w:sz w:val="23"/>
          <w:szCs w:val="23"/>
          <w:lang w:eastAsia="it-IT"/>
        </w:rPr>
      </w:pPr>
      <w:r w:rsidRPr="00E04499">
        <w:rPr>
          <w:rFonts w:ascii="Lato" w:eastAsia="Times New Roman" w:hAnsi="Lato" w:cs="Times New Roman"/>
          <w:smallCaps/>
          <w:color w:val="000000"/>
          <w:sz w:val="24"/>
          <w:szCs w:val="24"/>
          <w:lang w:eastAsia="it-IT"/>
        </w:rPr>
        <w:t>per questi motivi</w:t>
      </w:r>
    </w:p>
    <w:p w14:paraId="7DCA7807" w14:textId="77777777" w:rsidR="00E04499" w:rsidRPr="00E04499" w:rsidRDefault="00E04499" w:rsidP="00E04499">
      <w:pPr>
        <w:shd w:val="clear" w:color="auto" w:fill="FFFFFF"/>
        <w:spacing w:after="150" w:line="338" w:lineRule="atLeast"/>
        <w:ind w:firstLine="567"/>
        <w:jc w:val="center"/>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LA CORTE COSTITUZIONALE</w:t>
      </w:r>
    </w:p>
    <w:p w14:paraId="5B6BAC03"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riuniti i giudizi:</w:t>
      </w:r>
    </w:p>
    <w:p w14:paraId="4CB2D883"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a) </w:t>
      </w:r>
      <w:r w:rsidRPr="00E04499">
        <w:rPr>
          <w:rFonts w:ascii="Lato" w:eastAsia="Times New Roman" w:hAnsi="Lato" w:cs="Times New Roman"/>
          <w:i/>
          <w:iCs/>
          <w:color w:val="000000"/>
          <w:sz w:val="24"/>
          <w:szCs w:val="24"/>
          <w:lang w:eastAsia="it-IT"/>
        </w:rPr>
        <w:t>dichiara</w:t>
      </w:r>
      <w:r w:rsidRPr="00E04499">
        <w:rPr>
          <w:rFonts w:ascii="Lato" w:eastAsia="Times New Roman" w:hAnsi="Lato" w:cs="Times New Roman"/>
          <w:color w:val="000000"/>
          <w:sz w:val="24"/>
          <w:szCs w:val="24"/>
          <w:lang w:eastAsia="it-IT"/>
        </w:rPr>
        <w:t> inammissibile, in riferimento agli articoli 2 e 117, primo comma, della Costituzione, la questione di legittimità costituzionale degli articoli 93, 96, 98, 107, 108, 143, 143-bis, 156-bis del codice civile, sollevata dal Tribunale di Venezia e dalla Corte di appello di Trento con le ordinanze indicate in epigrafe;</w:t>
      </w:r>
    </w:p>
    <w:p w14:paraId="0429093D"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lastRenderedPageBreak/>
        <w:t>b) </w:t>
      </w:r>
      <w:r w:rsidRPr="00E04499">
        <w:rPr>
          <w:rFonts w:ascii="Lato" w:eastAsia="Times New Roman" w:hAnsi="Lato" w:cs="Times New Roman"/>
          <w:i/>
          <w:iCs/>
          <w:color w:val="000000"/>
          <w:sz w:val="24"/>
          <w:szCs w:val="24"/>
          <w:lang w:eastAsia="it-IT"/>
        </w:rPr>
        <w:t>dichiara</w:t>
      </w:r>
      <w:r w:rsidRPr="00E04499">
        <w:rPr>
          <w:rFonts w:ascii="Lato" w:eastAsia="Times New Roman" w:hAnsi="Lato" w:cs="Times New Roman"/>
          <w:color w:val="000000"/>
          <w:sz w:val="24"/>
          <w:szCs w:val="24"/>
          <w:lang w:eastAsia="it-IT"/>
        </w:rPr>
        <w:t> non fondata, in riferimento agli articoli 3 e 29 della Costituzione la questione di legittimità costituzionale degli articoli sopra indicati del codice civile sollevata dal Tribunale di Venezia e dalla Corte di appello di Trento con le medesime ordinanze.</w:t>
      </w:r>
    </w:p>
    <w:p w14:paraId="35540F0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Così deciso in Roma, nella sede della Corte costituzionale, Palazzo della Consulta, il 14 aprile 2010.</w:t>
      </w:r>
    </w:p>
    <w:p w14:paraId="74D0426C"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F.to:</w:t>
      </w:r>
    </w:p>
    <w:p w14:paraId="749117C0"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Francesco AMIRANTE, Presidente</w:t>
      </w:r>
    </w:p>
    <w:p w14:paraId="7D491DF4"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Alessandro CRISCUOLO, Redattore</w:t>
      </w:r>
    </w:p>
    <w:p w14:paraId="790F078F"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Giuseppe DI PAOLA, Cancelliere</w:t>
      </w:r>
    </w:p>
    <w:p w14:paraId="50A1E4C5" w14:textId="77777777" w:rsidR="00E04499" w:rsidRPr="00E04499" w:rsidRDefault="00E04499" w:rsidP="00E04499">
      <w:pPr>
        <w:shd w:val="clear" w:color="auto" w:fill="FFFFFF"/>
        <w:spacing w:after="150" w:line="338" w:lineRule="atLeast"/>
        <w:ind w:firstLine="567"/>
        <w:jc w:val="both"/>
        <w:rPr>
          <w:rFonts w:ascii="Lato" w:eastAsia="Times New Roman" w:hAnsi="Lato" w:cs="Times New Roman"/>
          <w:color w:val="000000"/>
          <w:sz w:val="23"/>
          <w:szCs w:val="23"/>
          <w:lang w:eastAsia="it-IT"/>
        </w:rPr>
      </w:pPr>
      <w:r w:rsidRPr="00E04499">
        <w:rPr>
          <w:rFonts w:ascii="Lato" w:eastAsia="Times New Roman" w:hAnsi="Lato" w:cs="Times New Roman"/>
          <w:color w:val="000000"/>
          <w:sz w:val="24"/>
          <w:szCs w:val="24"/>
          <w:lang w:eastAsia="it-IT"/>
        </w:rPr>
        <w:t>Depositata in Cancelleria il 15 aprile 2010.</w:t>
      </w:r>
    </w:p>
    <w:p w14:paraId="6DD24217" w14:textId="77777777" w:rsidR="00553B69" w:rsidRDefault="00553B69"/>
    <w:sectPr w:rsidR="00553B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99"/>
    <w:rsid w:val="00553B69"/>
    <w:rsid w:val="005B0837"/>
    <w:rsid w:val="00E04499"/>
    <w:rsid w:val="00ED3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C41A"/>
  <w15:chartTrackingRefBased/>
  <w15:docId w15:val="{4BC28501-34A6-4934-98AA-D4DBE527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E0449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04499"/>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E04499"/>
    <w:rPr>
      <w:i/>
      <w:iCs/>
    </w:rPr>
  </w:style>
  <w:style w:type="character" w:customStyle="1" w:styleId="spelle">
    <w:name w:val="spelle"/>
    <w:basedOn w:val="Carpredefinitoparagrafo"/>
    <w:rsid w:val="00E04499"/>
  </w:style>
  <w:style w:type="character" w:styleId="Collegamentoipertestuale">
    <w:name w:val="Hyperlink"/>
    <w:basedOn w:val="Carpredefinitoparagrafo"/>
    <w:uiPriority w:val="99"/>
    <w:semiHidden/>
    <w:unhideWhenUsed/>
    <w:rsid w:val="00E04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1989/0559s-89.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iurcost.org/decisioni/2002/0463o-02.html" TargetMode="External"/><Relationship Id="rId12" Type="http://schemas.openxmlformats.org/officeDocument/2006/relationships/hyperlink" Target="http://cmiskp.echr.coe.int/tkp197/view.asp?action=html&amp;documentId=703023&amp;portal=hbkm&amp;source=externalbydocnumber&amp;table=F69A27FD8FB86142BF01C1166DEA3986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urcost.org/decisioni/2007/0185o-07.html" TargetMode="External"/><Relationship Id="rId11" Type="http://schemas.openxmlformats.org/officeDocument/2006/relationships/hyperlink" Target="https://giurcost.org/decisioni/1985/0161s-85.html" TargetMode="External"/><Relationship Id="rId5" Type="http://schemas.openxmlformats.org/officeDocument/2006/relationships/hyperlink" Target="https://giurcost.org/decisioni/2008/0316o-08.html" TargetMode="External"/><Relationship Id="rId10" Type="http://schemas.openxmlformats.org/officeDocument/2006/relationships/hyperlink" Target="https://giurcost.org/decisioni/1985/0161s-85.html" TargetMode="External"/><Relationship Id="rId4" Type="http://schemas.openxmlformats.org/officeDocument/2006/relationships/hyperlink" Target="https://giurcost.org/decisioni/2009/0243o-09.html" TargetMode="External"/><Relationship Id="rId9" Type="http://schemas.openxmlformats.org/officeDocument/2006/relationships/hyperlink" Target="https://giurcost.org/decisioni/1988/0404s-88.htm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3502</Words>
  <Characters>19968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Corte costituzionale</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Padula</dc:creator>
  <cp:keywords/>
  <dc:description/>
  <cp:lastModifiedBy>Padula Carlo</cp:lastModifiedBy>
  <cp:revision>3</cp:revision>
  <dcterms:created xsi:type="dcterms:W3CDTF">2023-10-11T15:44:00Z</dcterms:created>
  <dcterms:modified xsi:type="dcterms:W3CDTF">2023-10-22T08:07:00Z</dcterms:modified>
</cp:coreProperties>
</file>