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CB9E" w14:textId="7DCBDE45" w:rsidR="0018306D" w:rsidRPr="00EE1559" w:rsidRDefault="0018306D" w:rsidP="0018306D">
      <w:pPr>
        <w:shd w:val="clear" w:color="auto" w:fill="FFFFFF"/>
        <w:spacing w:after="150"/>
        <w:ind w:firstLine="300"/>
        <w:jc w:val="center"/>
        <w:rPr>
          <w:rFonts w:ascii="Times New Roman" w:eastAsia="Times New Roman" w:hAnsi="Times New Roman" w:cs="Times New Roman"/>
          <w:b/>
          <w:bCs/>
          <w:color w:val="000000"/>
          <w:kern w:val="0"/>
          <w:lang w:eastAsia="it-IT"/>
          <w14:ligatures w14:val="none"/>
        </w:rPr>
      </w:pPr>
      <w:r w:rsidRPr="00EE1559">
        <w:rPr>
          <w:rFonts w:ascii="Times New Roman" w:eastAsia="Times New Roman" w:hAnsi="Times New Roman" w:cs="Times New Roman"/>
          <w:b/>
          <w:bCs/>
          <w:color w:val="000000"/>
          <w:kern w:val="0"/>
          <w:lang w:eastAsia="it-IT"/>
          <w14:ligatures w14:val="none"/>
        </w:rPr>
        <w:t>Sent. 142/2025</w:t>
      </w:r>
    </w:p>
    <w:p w14:paraId="660A8CF6" w14:textId="4D928CC2" w:rsidR="0018306D" w:rsidRPr="0018306D" w:rsidRDefault="0018306D" w:rsidP="0018306D">
      <w:pPr>
        <w:shd w:val="clear" w:color="auto" w:fill="FFFFFF"/>
        <w:spacing w:after="150"/>
        <w:ind w:firstLine="300"/>
        <w:jc w:val="center"/>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i/>
          <w:iCs/>
          <w:color w:val="000000"/>
          <w:kern w:val="0"/>
          <w:lang w:eastAsia="it-IT"/>
          <w14:ligatures w14:val="none"/>
        </w:rPr>
        <w:t>Considerato in diritto</w:t>
      </w:r>
    </w:p>
    <w:p w14:paraId="3DCEB44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EE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 Con le ordinanze iscritte al n. 247 reg. </w:t>
      </w:r>
      <w:proofErr w:type="spellStart"/>
      <w:r w:rsidRPr="0018306D">
        <w:rPr>
          <w:rFonts w:ascii="Times New Roman" w:eastAsia="Times New Roman" w:hAnsi="Times New Roman" w:cs="Times New Roman"/>
          <w:color w:val="000000"/>
          <w:kern w:val="0"/>
          <w:lang w:eastAsia="it-IT"/>
          <w14:ligatures w14:val="none"/>
        </w:rPr>
        <w:t>ord</w:t>
      </w:r>
      <w:proofErr w:type="spellEnd"/>
      <w:r w:rsidRPr="0018306D">
        <w:rPr>
          <w:rFonts w:ascii="Times New Roman" w:eastAsia="Times New Roman" w:hAnsi="Times New Roman" w:cs="Times New Roman"/>
          <w:color w:val="000000"/>
          <w:kern w:val="0"/>
          <w:lang w:eastAsia="it-IT"/>
          <w14:ligatures w14:val="none"/>
        </w:rPr>
        <w:t xml:space="preserve">. del 2024, e ai numeri 65, 66 e 86 reg. </w:t>
      </w:r>
      <w:proofErr w:type="spellStart"/>
      <w:r w:rsidRPr="0018306D">
        <w:rPr>
          <w:rFonts w:ascii="Times New Roman" w:eastAsia="Times New Roman" w:hAnsi="Times New Roman" w:cs="Times New Roman"/>
          <w:color w:val="000000"/>
          <w:kern w:val="0"/>
          <w:lang w:eastAsia="it-IT"/>
          <w14:ligatures w14:val="none"/>
        </w:rPr>
        <w:t>ord</w:t>
      </w:r>
      <w:proofErr w:type="spellEnd"/>
      <w:r w:rsidRPr="0018306D">
        <w:rPr>
          <w:rFonts w:ascii="Times New Roman" w:eastAsia="Times New Roman" w:hAnsi="Times New Roman" w:cs="Times New Roman"/>
          <w:color w:val="000000"/>
          <w:kern w:val="0"/>
          <w:lang w:eastAsia="it-IT"/>
          <w14:ligatures w14:val="none"/>
        </w:rPr>
        <w:t xml:space="preserve">. del 2025, i Tribunali di Bologna, di Roma, di Milano e di Firenze hanno sollevato questioni di legittimità costituzionale dell’art. 1, comma 1, lettera a), della legge n. 91 del 1992, </w:t>
      </w:r>
      <w:r w:rsidRPr="0018306D">
        <w:rPr>
          <w:rFonts w:ascii="Times New Roman" w:eastAsia="Times New Roman" w:hAnsi="Times New Roman" w:cs="Times New Roman"/>
          <w:color w:val="EE0000"/>
          <w:kern w:val="0"/>
          <w:lang w:eastAsia="it-IT"/>
          <w14:ligatures w14:val="none"/>
        </w:rPr>
        <w:t>nella parte in cui, stabilendo che «[è] cittadino per nascita: a) il figlio di padre o di madre cittadini», non prevede alcun limite all’acquisizione della cittadinanza iure sanguinis.</w:t>
      </w:r>
    </w:p>
    <w:p w14:paraId="3DE5D0E5"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Il solo Tribunale di Milano ha censurato anche l’art. 4 del codice civile del 1865, nonché l’art. 1 della legge n. 555 del 1912, sempre nella parte in cui non pongono alcun limite all’acquisizione della cittadinanza iure sanguinis.</w:t>
      </w:r>
    </w:p>
    <w:p w14:paraId="348BAC45"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2.– In particolare, i giudici a </w:t>
      </w:r>
      <w:proofErr w:type="spellStart"/>
      <w:r w:rsidRPr="0018306D">
        <w:rPr>
          <w:rFonts w:ascii="Times New Roman" w:eastAsia="Times New Roman" w:hAnsi="Times New Roman" w:cs="Times New Roman"/>
          <w:color w:val="000000"/>
          <w:kern w:val="0"/>
          <w:lang w:eastAsia="it-IT"/>
          <w14:ligatures w14:val="none"/>
        </w:rPr>
        <w:t>quibus</w:t>
      </w:r>
      <w:proofErr w:type="spellEnd"/>
      <w:r w:rsidRPr="0018306D">
        <w:rPr>
          <w:rFonts w:ascii="Times New Roman" w:eastAsia="Times New Roman" w:hAnsi="Times New Roman" w:cs="Times New Roman"/>
          <w:color w:val="000000"/>
          <w:kern w:val="0"/>
          <w:lang w:eastAsia="it-IT"/>
          <w14:ligatures w14:val="none"/>
        </w:rPr>
        <w:t>, chiamati ad applicare la disciplina censurata a ricorrenti che sono discendenti di cittadini o cittadine italiani, ma sono nati all’estero, ivi residenti e con la cittadinanza di un altro Stato, dubitano della legittimità costituzionale delle citate norme sotto molteplici profili.</w:t>
      </w:r>
    </w:p>
    <w:p w14:paraId="6D5CAD0E"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2.1.– Tutti i rimettenti ritengono violati gli artt. 1, secondo comma, e 3 Cost., quest’ultimo sotto il profilo della irragionevolezza e non proporzionalità.</w:t>
      </w:r>
    </w:p>
    <w:p w14:paraId="1767D1B2"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EE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In particolare, sostengono che il riconoscimento della cittadinanza a favore di chi, in presenza dei richiamati elementi di collegamento con l’ordinamento di un Paese straniero, possa vantare solo la discendenza da un cittadino o da una cittadina italiani, senza avere altri legami con l’ordinamento interno, determinerebbe una </w:t>
      </w:r>
      <w:r w:rsidRPr="0018306D">
        <w:rPr>
          <w:rFonts w:ascii="Times New Roman" w:eastAsia="Times New Roman" w:hAnsi="Times New Roman" w:cs="Times New Roman"/>
          <w:color w:val="EE0000"/>
          <w:kern w:val="0"/>
          <w:lang w:eastAsia="it-IT"/>
          <w14:ligatures w14:val="none"/>
        </w:rPr>
        <w:t>profonda alterazione della nozione di popolo, incidendo sullo stesso esercizio della sovranità popolare e, in ultima analisi, sul funzionamento della democrazia.</w:t>
      </w:r>
    </w:p>
    <w:p w14:paraId="04E46AD1"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2.2.– I Tribunali di Bologna, di Milano e di Firenze sollevano questioni di legittimità costituzionale anche in riferimento all’art. 117, primo comma, Cost., relativamente agli obblighi internazionali e ai vincoli derivanti dall’appartenenza dell’Italia all’Unione europea, questi ultimi con specifico riguardo all’art. 9 TUE e all’art. 20 TFUE.</w:t>
      </w:r>
    </w:p>
    <w:p w14:paraId="49E27C89"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EE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Secondo i giudici a </w:t>
      </w:r>
      <w:proofErr w:type="spellStart"/>
      <w:r w:rsidRPr="0018306D">
        <w:rPr>
          <w:rFonts w:ascii="Times New Roman" w:eastAsia="Times New Roman" w:hAnsi="Times New Roman" w:cs="Times New Roman"/>
          <w:color w:val="000000"/>
          <w:kern w:val="0"/>
          <w:lang w:eastAsia="it-IT"/>
          <w14:ligatures w14:val="none"/>
        </w:rPr>
        <w:t>quibus</w:t>
      </w:r>
      <w:proofErr w:type="spellEnd"/>
      <w:r w:rsidRPr="0018306D">
        <w:rPr>
          <w:rFonts w:ascii="Times New Roman" w:eastAsia="Times New Roman" w:hAnsi="Times New Roman" w:cs="Times New Roman"/>
          <w:color w:val="EE0000"/>
          <w:kern w:val="0"/>
          <w:lang w:eastAsia="it-IT"/>
          <w14:ligatures w14:val="none"/>
        </w:rPr>
        <w:t xml:space="preserve">, le citate fonti internazionali vincolerebbero gli Stati a prevedere norme sulla cittadinanza che attestino un legame effettivo con l’ordinamento giuridico attributivo dello status </w:t>
      </w:r>
      <w:proofErr w:type="spellStart"/>
      <w:r w:rsidRPr="0018306D">
        <w:rPr>
          <w:rFonts w:ascii="Times New Roman" w:eastAsia="Times New Roman" w:hAnsi="Times New Roman" w:cs="Times New Roman"/>
          <w:color w:val="EE0000"/>
          <w:kern w:val="0"/>
          <w:lang w:eastAsia="it-IT"/>
          <w14:ligatures w14:val="none"/>
        </w:rPr>
        <w:t>civitatis</w:t>
      </w:r>
      <w:proofErr w:type="spellEnd"/>
      <w:r w:rsidRPr="0018306D">
        <w:rPr>
          <w:rFonts w:ascii="Times New Roman" w:eastAsia="Times New Roman" w:hAnsi="Times New Roman" w:cs="Times New Roman"/>
          <w:color w:val="EE0000"/>
          <w:kern w:val="0"/>
          <w:lang w:eastAsia="it-IT"/>
          <w14:ligatures w14:val="none"/>
        </w:rPr>
        <w:t>.</w:t>
      </w:r>
    </w:p>
    <w:p w14:paraId="10D07ED8"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2.3.– Infine, il Tribunale di Roma e quello di Milano reputano la norma </w:t>
      </w:r>
      <w:r w:rsidRPr="0018306D">
        <w:rPr>
          <w:rFonts w:ascii="Times New Roman" w:eastAsia="Times New Roman" w:hAnsi="Times New Roman" w:cs="Times New Roman"/>
          <w:color w:val="EE0000"/>
          <w:kern w:val="0"/>
          <w:lang w:eastAsia="it-IT"/>
          <w14:ligatures w14:val="none"/>
        </w:rPr>
        <w:t>censurata lesiva dell’art. 3 Cost., per irragionevole disparità di trattamento rispetto a diversi termini di raffronto</w:t>
      </w:r>
      <w:r w:rsidRPr="0018306D">
        <w:rPr>
          <w:rFonts w:ascii="Times New Roman" w:eastAsia="Times New Roman" w:hAnsi="Times New Roman" w:cs="Times New Roman"/>
          <w:color w:val="000000"/>
          <w:kern w:val="0"/>
          <w:lang w:eastAsia="it-IT"/>
          <w14:ligatures w14:val="none"/>
        </w:rPr>
        <w:t>.</w:t>
      </w:r>
    </w:p>
    <w:p w14:paraId="299EED9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Il rimettente capitolino ravvisa quale </w:t>
      </w:r>
      <w:proofErr w:type="spellStart"/>
      <w:r w:rsidRPr="0018306D">
        <w:rPr>
          <w:rFonts w:ascii="Times New Roman" w:eastAsia="Times New Roman" w:hAnsi="Times New Roman" w:cs="Times New Roman"/>
          <w:color w:val="000000"/>
          <w:kern w:val="0"/>
          <w:lang w:eastAsia="it-IT"/>
          <w14:ligatures w14:val="none"/>
        </w:rPr>
        <w:t>tertium</w:t>
      </w:r>
      <w:proofErr w:type="spellEnd"/>
      <w:r w:rsidRPr="0018306D">
        <w:rPr>
          <w:rFonts w:ascii="Times New Roman" w:eastAsia="Times New Roman" w:hAnsi="Times New Roman" w:cs="Times New Roman"/>
          <w:color w:val="000000"/>
          <w:kern w:val="0"/>
          <w:lang w:eastAsia="it-IT"/>
          <w14:ligatures w14:val="none"/>
        </w:rPr>
        <w:t xml:space="preserve"> </w:t>
      </w:r>
      <w:proofErr w:type="spellStart"/>
      <w:r w:rsidRPr="0018306D">
        <w:rPr>
          <w:rFonts w:ascii="Times New Roman" w:eastAsia="Times New Roman" w:hAnsi="Times New Roman" w:cs="Times New Roman"/>
          <w:color w:val="000000"/>
          <w:kern w:val="0"/>
          <w:lang w:eastAsia="it-IT"/>
          <w14:ligatures w14:val="none"/>
        </w:rPr>
        <w:t>comparationis</w:t>
      </w:r>
      <w:proofErr w:type="spellEnd"/>
      <w:r w:rsidRPr="0018306D">
        <w:rPr>
          <w:rFonts w:ascii="Times New Roman" w:eastAsia="Times New Roman" w:hAnsi="Times New Roman" w:cs="Times New Roman"/>
          <w:color w:val="000000"/>
          <w:kern w:val="0"/>
          <w:lang w:eastAsia="it-IT"/>
          <w14:ligatures w14:val="none"/>
        </w:rPr>
        <w:t xml:space="preserve"> l’art. 4, comma 1, della legge n. 91 del 1992, che disciplina l’acquisizione della cittadinanza a favore del discendente di chi aveva, ma ha perso, lo status di cittadino italiano.</w:t>
      </w:r>
    </w:p>
    <w:p w14:paraId="510DEB3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Il giudice a quo di Milano ritiene, invece, irragionevole la disparità di trattamento rispetto alla normativa che regola l’acquisizione della cittadinanza da parte del coniuge di cittadino o di cittadina italiani.</w:t>
      </w:r>
    </w:p>
    <w:p w14:paraId="6406A8F1" w14:textId="77777777" w:rsidR="00CB645D" w:rsidRPr="00EE1559" w:rsidRDefault="00CB645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EE1559">
        <w:rPr>
          <w:rFonts w:ascii="Times New Roman" w:eastAsia="Times New Roman" w:hAnsi="Times New Roman" w:cs="Times New Roman"/>
          <w:color w:val="000000"/>
          <w:kern w:val="0"/>
          <w:lang w:eastAsia="it-IT"/>
          <w14:ligatures w14:val="none"/>
        </w:rPr>
        <w:t>[…]</w:t>
      </w:r>
    </w:p>
    <w:p w14:paraId="2C6C0DE0" w14:textId="23CBFF1C"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5.– Si sono, invece, legittimamente costituite numerose parti ricorrenti nei giudizi a </w:t>
      </w:r>
      <w:proofErr w:type="spellStart"/>
      <w:r w:rsidRPr="0018306D">
        <w:rPr>
          <w:rFonts w:ascii="Times New Roman" w:eastAsia="Times New Roman" w:hAnsi="Times New Roman" w:cs="Times New Roman"/>
          <w:color w:val="000000"/>
          <w:kern w:val="0"/>
          <w:lang w:eastAsia="it-IT"/>
          <w14:ligatures w14:val="none"/>
        </w:rPr>
        <w:t>quibus</w:t>
      </w:r>
      <w:proofErr w:type="spellEnd"/>
      <w:r w:rsidRPr="0018306D">
        <w:rPr>
          <w:rFonts w:ascii="Times New Roman" w:eastAsia="Times New Roman" w:hAnsi="Times New Roman" w:cs="Times New Roman"/>
          <w:color w:val="000000"/>
          <w:kern w:val="0"/>
          <w:lang w:eastAsia="it-IT"/>
          <w14:ligatures w14:val="none"/>
        </w:rPr>
        <w:t>, che hanno eccepito l’inammissibilità e, comunque, la non fondatezza delle questioni sollevate.</w:t>
      </w:r>
    </w:p>
    <w:p w14:paraId="485D02F2"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Alcune di esse hanno rilevato come – nella pendenza del presente giudizio – sia stato introdotto il </w:t>
      </w:r>
      <w:proofErr w:type="spellStart"/>
      <w:r w:rsidRPr="0018306D">
        <w:rPr>
          <w:rFonts w:ascii="Times New Roman" w:eastAsia="Times New Roman" w:hAnsi="Times New Roman" w:cs="Times New Roman"/>
          <w:color w:val="000000"/>
          <w:kern w:val="0"/>
          <w:lang w:eastAsia="it-IT"/>
          <w14:ligatures w14:val="none"/>
        </w:rPr>
        <w:t>d.l.</w:t>
      </w:r>
      <w:proofErr w:type="spellEnd"/>
      <w:r w:rsidRPr="0018306D">
        <w:rPr>
          <w:rFonts w:ascii="Times New Roman" w:eastAsia="Times New Roman" w:hAnsi="Times New Roman" w:cs="Times New Roman"/>
          <w:color w:val="000000"/>
          <w:kern w:val="0"/>
          <w:lang w:eastAsia="it-IT"/>
          <w14:ligatures w14:val="none"/>
        </w:rPr>
        <w:t xml:space="preserve"> n. 36 del 2025, come convertito, che ha innovato la disciplina censurata in maniera tutt’altro che marginale.</w:t>
      </w:r>
    </w:p>
    <w:p w14:paraId="3346DD13"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lastRenderedPageBreak/>
        <w:t>Nello specifico, le parti costituite con atto depositato in data 20 maggio 2025 hanno ritenuto che il citato decreto-legge sia applicabile al presente giudizio, mentre quelle che si sono costituite con atto depositato in data 16 maggio 2025 lo hanno escluso. Inoltre, le prime hanno chiesto a questa Corte di rimettere dinanzi a se stessa questioni di legittimità costituzionale della nuova normativa.</w:t>
      </w:r>
    </w:p>
    <w:p w14:paraId="409BEF9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6.– Si rende, allora, necessario esaminare, in via preliminare, i tratti della disciplina oggetto delle odierne questioni e le modifiche a essa apportate dal citato decreto-legge.</w:t>
      </w:r>
    </w:p>
    <w:p w14:paraId="3943CEA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6.1.– Il censurato art. 1, comma 1, lettera a), della legge n. 91 del 1992, stabilisce che «[è] cittadino per nascita: a) il figlio di padre o di madre cittadini».</w:t>
      </w:r>
    </w:p>
    <w:p w14:paraId="795B78C3"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Il criterio enunciato associa automaticamente il meccanismo acquisitivo della cittadinanza allo status </w:t>
      </w:r>
      <w:proofErr w:type="spellStart"/>
      <w:r w:rsidRPr="0018306D">
        <w:rPr>
          <w:rFonts w:ascii="Times New Roman" w:eastAsia="Times New Roman" w:hAnsi="Times New Roman" w:cs="Times New Roman"/>
          <w:color w:val="000000"/>
          <w:kern w:val="0"/>
          <w:lang w:eastAsia="it-IT"/>
          <w14:ligatures w14:val="none"/>
        </w:rPr>
        <w:t>filiationis</w:t>
      </w:r>
      <w:proofErr w:type="spellEnd"/>
      <w:r w:rsidRPr="0018306D">
        <w:rPr>
          <w:rFonts w:ascii="Times New Roman" w:eastAsia="Times New Roman" w:hAnsi="Times New Roman" w:cs="Times New Roman"/>
          <w:color w:val="000000"/>
          <w:kern w:val="0"/>
          <w:lang w:eastAsia="it-IT"/>
          <w14:ligatures w14:val="none"/>
        </w:rPr>
        <w:t>.</w:t>
      </w:r>
    </w:p>
    <w:p w14:paraId="4534D577"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Questo trova conferma nei successivi artt. 2, 3 e 14 della legge n. 91 del 1992, che, rispettivamente, collegano l’acquisizione dello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al riconoscimento del figlio o all’adozione o alla sussistenza di un vincolo di filiazione che preesista all’acquisto o al riacquisto della cittadinanza da parte dell’ascendente.</w:t>
      </w:r>
    </w:p>
    <w:p w14:paraId="16EDFD0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Tale disciplina riprende quanto già previsto, seppure in un contesto ancora impermeabile al principio di eguaglianza fra uomini e donne, dalla legge n. 555 del 1912 (che, all’art. 1, primo comma, considerava «cittadino per nascita: 1° il figlio di padre cittadino») e, prima ancora, dal codice civile del 1865, che, all’art. 4 del Libro primo, Titolo I, riteneva «cittadino il figlio di padre cittadino», recependo, a sua volta, il modello del Code </w:t>
      </w:r>
      <w:proofErr w:type="spellStart"/>
      <w:r w:rsidRPr="0018306D">
        <w:rPr>
          <w:rFonts w:ascii="Times New Roman" w:eastAsia="Times New Roman" w:hAnsi="Times New Roman" w:cs="Times New Roman"/>
          <w:color w:val="000000"/>
          <w:kern w:val="0"/>
          <w:lang w:eastAsia="it-IT"/>
          <w14:ligatures w14:val="none"/>
        </w:rPr>
        <w:t>Napoléon</w:t>
      </w:r>
      <w:proofErr w:type="spellEnd"/>
      <w:r w:rsidRPr="0018306D">
        <w:rPr>
          <w:rFonts w:ascii="Times New Roman" w:eastAsia="Times New Roman" w:hAnsi="Times New Roman" w:cs="Times New Roman"/>
          <w:color w:val="000000"/>
          <w:kern w:val="0"/>
          <w:lang w:eastAsia="it-IT"/>
          <w14:ligatures w14:val="none"/>
        </w:rPr>
        <w:t xml:space="preserve"> del 1804, ai sensi del quale «[t]out enfant né d’un </w:t>
      </w:r>
      <w:proofErr w:type="spellStart"/>
      <w:r w:rsidRPr="0018306D">
        <w:rPr>
          <w:rFonts w:ascii="Times New Roman" w:eastAsia="Times New Roman" w:hAnsi="Times New Roman" w:cs="Times New Roman"/>
          <w:color w:val="000000"/>
          <w:kern w:val="0"/>
          <w:lang w:eastAsia="it-IT"/>
          <w14:ligatures w14:val="none"/>
        </w:rPr>
        <w:t>Français</w:t>
      </w:r>
      <w:proofErr w:type="spellEnd"/>
      <w:r w:rsidRPr="0018306D">
        <w:rPr>
          <w:rFonts w:ascii="Times New Roman" w:eastAsia="Times New Roman" w:hAnsi="Times New Roman" w:cs="Times New Roman"/>
          <w:color w:val="000000"/>
          <w:kern w:val="0"/>
          <w:lang w:eastAsia="it-IT"/>
          <w14:ligatures w14:val="none"/>
        </w:rPr>
        <w:t xml:space="preserve"> </w:t>
      </w:r>
      <w:proofErr w:type="spellStart"/>
      <w:r w:rsidRPr="0018306D">
        <w:rPr>
          <w:rFonts w:ascii="Times New Roman" w:eastAsia="Times New Roman" w:hAnsi="Times New Roman" w:cs="Times New Roman"/>
          <w:color w:val="000000"/>
          <w:kern w:val="0"/>
          <w:lang w:eastAsia="it-IT"/>
          <w14:ligatures w14:val="none"/>
        </w:rPr>
        <w:t>dans</w:t>
      </w:r>
      <w:proofErr w:type="spellEnd"/>
      <w:r w:rsidRPr="0018306D">
        <w:rPr>
          <w:rFonts w:ascii="Times New Roman" w:eastAsia="Times New Roman" w:hAnsi="Times New Roman" w:cs="Times New Roman"/>
          <w:color w:val="000000"/>
          <w:kern w:val="0"/>
          <w:lang w:eastAsia="it-IT"/>
          <w14:ligatures w14:val="none"/>
        </w:rPr>
        <w:t xml:space="preserve"> un </w:t>
      </w:r>
      <w:proofErr w:type="spellStart"/>
      <w:r w:rsidRPr="0018306D">
        <w:rPr>
          <w:rFonts w:ascii="Times New Roman" w:eastAsia="Times New Roman" w:hAnsi="Times New Roman" w:cs="Times New Roman"/>
          <w:color w:val="000000"/>
          <w:kern w:val="0"/>
          <w:lang w:eastAsia="it-IT"/>
          <w14:ligatures w14:val="none"/>
        </w:rPr>
        <w:t>pays</w:t>
      </w:r>
      <w:proofErr w:type="spellEnd"/>
      <w:r w:rsidRPr="0018306D">
        <w:rPr>
          <w:rFonts w:ascii="Times New Roman" w:eastAsia="Times New Roman" w:hAnsi="Times New Roman" w:cs="Times New Roman"/>
          <w:color w:val="000000"/>
          <w:kern w:val="0"/>
          <w:lang w:eastAsia="it-IT"/>
          <w14:ligatures w14:val="none"/>
        </w:rPr>
        <w:t xml:space="preserve"> </w:t>
      </w:r>
      <w:proofErr w:type="spellStart"/>
      <w:r w:rsidRPr="0018306D">
        <w:rPr>
          <w:rFonts w:ascii="Times New Roman" w:eastAsia="Times New Roman" w:hAnsi="Times New Roman" w:cs="Times New Roman"/>
          <w:color w:val="000000"/>
          <w:kern w:val="0"/>
          <w:lang w:eastAsia="it-IT"/>
          <w14:ligatures w14:val="none"/>
        </w:rPr>
        <w:t>étranger</w:t>
      </w:r>
      <w:proofErr w:type="spellEnd"/>
      <w:r w:rsidRPr="0018306D">
        <w:rPr>
          <w:rFonts w:ascii="Times New Roman" w:eastAsia="Times New Roman" w:hAnsi="Times New Roman" w:cs="Times New Roman"/>
          <w:color w:val="000000"/>
          <w:kern w:val="0"/>
          <w:lang w:eastAsia="it-IT"/>
          <w14:ligatures w14:val="none"/>
        </w:rPr>
        <w:t xml:space="preserve"> est </w:t>
      </w:r>
      <w:proofErr w:type="spellStart"/>
      <w:r w:rsidRPr="0018306D">
        <w:rPr>
          <w:rFonts w:ascii="Times New Roman" w:eastAsia="Times New Roman" w:hAnsi="Times New Roman" w:cs="Times New Roman"/>
          <w:color w:val="000000"/>
          <w:kern w:val="0"/>
          <w:lang w:eastAsia="it-IT"/>
          <w14:ligatures w14:val="none"/>
        </w:rPr>
        <w:t>Français</w:t>
      </w:r>
      <w:proofErr w:type="spellEnd"/>
      <w:r w:rsidRPr="0018306D">
        <w:rPr>
          <w:rFonts w:ascii="Times New Roman" w:eastAsia="Times New Roman" w:hAnsi="Times New Roman" w:cs="Times New Roman"/>
          <w:color w:val="000000"/>
          <w:kern w:val="0"/>
          <w:lang w:eastAsia="it-IT"/>
          <w14:ligatures w14:val="none"/>
        </w:rPr>
        <w:t>» (art. 10 del Libro primo, Titolo I).</w:t>
      </w:r>
    </w:p>
    <w:p w14:paraId="4311350F"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EE0000"/>
          <w:kern w:val="0"/>
          <w:lang w:eastAsia="it-IT"/>
          <w14:ligatures w14:val="none"/>
        </w:rPr>
        <w:t>Rimosso il fattore discriminatorio dall’art. 1, primo comma, della legge n. 555 del 1912, grazie alla </w:t>
      </w:r>
      <w:hyperlink r:id="rId4" w:history="1">
        <w:r w:rsidRPr="0018306D">
          <w:rPr>
            <w:rFonts w:ascii="Times New Roman" w:eastAsia="Times New Roman" w:hAnsi="Times New Roman" w:cs="Times New Roman"/>
            <w:color w:val="EE0000"/>
            <w:kern w:val="0"/>
            <w:u w:val="single"/>
            <w:shd w:val="clear" w:color="auto" w:fill="FBFB68"/>
            <w:lang w:eastAsia="it-IT"/>
            <w14:ligatures w14:val="none"/>
          </w:rPr>
          <w:t>sentenza n. 30 del 1983</w:t>
        </w:r>
      </w:hyperlink>
      <w:r w:rsidRPr="0018306D">
        <w:rPr>
          <w:rFonts w:ascii="Times New Roman" w:eastAsia="Times New Roman" w:hAnsi="Times New Roman" w:cs="Times New Roman"/>
          <w:color w:val="EE0000"/>
          <w:kern w:val="0"/>
          <w:lang w:eastAsia="it-IT"/>
          <w14:ligatures w14:val="none"/>
        </w:rPr>
        <w:t> di questa Corte</w:t>
      </w:r>
      <w:r w:rsidRPr="0018306D">
        <w:rPr>
          <w:rFonts w:ascii="Times New Roman" w:eastAsia="Times New Roman" w:hAnsi="Times New Roman" w:cs="Times New Roman"/>
          <w:color w:val="000000"/>
          <w:kern w:val="0"/>
          <w:lang w:eastAsia="it-IT"/>
          <w14:ligatures w14:val="none"/>
        </w:rPr>
        <w:t>, la regola dell’acquisizione della cittadinanza attraverso il vincolo di filiazione è transitata, inizialmente, nel primo comma dell’art. 5 della legge n. 123 del 1983, il quale, al secondo comma, prevedeva, altresì, che il figlio con doppia cittadinanza, divenuto maggiorenne, avesse l’onere di optare per una sola cittadinanza entro un anno dal raggiungimento della maggiore età.</w:t>
      </w:r>
    </w:p>
    <w:p w14:paraId="062D64C8"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Di seguito, la legge n. 91 del 1992, per un verso, ha abrogato la legge n. 123 del 1983, senza riprodurre il contenuto precettivo del citato art. 5, secondo comma.</w:t>
      </w:r>
    </w:p>
    <w:p w14:paraId="16800874"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Per un altro verso, con la disposizione oggi censurata, ha confermato l’automatica correlazione fra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e status </w:t>
      </w:r>
      <w:proofErr w:type="spellStart"/>
      <w:r w:rsidRPr="0018306D">
        <w:rPr>
          <w:rFonts w:ascii="Times New Roman" w:eastAsia="Times New Roman" w:hAnsi="Times New Roman" w:cs="Times New Roman"/>
          <w:color w:val="000000"/>
          <w:kern w:val="0"/>
          <w:lang w:eastAsia="it-IT"/>
          <w14:ligatures w14:val="none"/>
        </w:rPr>
        <w:t>filiationis</w:t>
      </w:r>
      <w:proofErr w:type="spellEnd"/>
      <w:r w:rsidRPr="0018306D">
        <w:rPr>
          <w:rFonts w:ascii="Times New Roman" w:eastAsia="Times New Roman" w:hAnsi="Times New Roman" w:cs="Times New Roman"/>
          <w:color w:val="000000"/>
          <w:kern w:val="0"/>
          <w:lang w:eastAsia="it-IT"/>
          <w14:ligatures w14:val="none"/>
        </w:rPr>
        <w:t>.</w:t>
      </w:r>
    </w:p>
    <w:p w14:paraId="48D0FBA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6.2.– In sintonia con i tratti propri del presupposto costitutivo della cittadinanza, ovverossia lo stato di figlio, la giurisprudenza costituzionale e quella di legittimità hanno qualificato la natura di tale modo di acquisto della cittadinanza come a titolo «originario» (la citata s</w:t>
      </w:r>
      <w:hyperlink r:id="rId5" w:history="1">
        <w:r w:rsidRPr="0018306D">
          <w:rPr>
            <w:rFonts w:ascii="Times New Roman" w:eastAsia="Times New Roman" w:hAnsi="Times New Roman" w:cs="Times New Roman"/>
            <w:color w:val="0E10A1"/>
            <w:kern w:val="0"/>
            <w:u w:val="single"/>
            <w:shd w:val="clear" w:color="auto" w:fill="FBFB68"/>
            <w:lang w:eastAsia="it-IT"/>
            <w14:ligatures w14:val="none"/>
          </w:rPr>
          <w:t>entenza n. 30 del 1983</w:t>
        </w:r>
      </w:hyperlink>
      <w:r w:rsidRPr="0018306D">
        <w:rPr>
          <w:rFonts w:ascii="Times New Roman" w:eastAsia="Times New Roman" w:hAnsi="Times New Roman" w:cs="Times New Roman"/>
          <w:color w:val="000000"/>
          <w:kern w:val="0"/>
          <w:lang w:eastAsia="it-IT"/>
          <w14:ligatures w14:val="none"/>
        </w:rPr>
        <w:t xml:space="preserve">, nonché Cass., </w:t>
      </w:r>
      <w:proofErr w:type="spellStart"/>
      <w:r w:rsidRPr="0018306D">
        <w:rPr>
          <w:rFonts w:ascii="Times New Roman" w:eastAsia="Times New Roman" w:hAnsi="Times New Roman" w:cs="Times New Roman"/>
          <w:color w:val="000000"/>
          <w:kern w:val="0"/>
          <w:lang w:eastAsia="it-IT"/>
          <w14:ligatures w14:val="none"/>
        </w:rPr>
        <w:t>sent</w:t>
      </w:r>
      <w:proofErr w:type="spellEnd"/>
      <w:r w:rsidRPr="0018306D">
        <w:rPr>
          <w:rFonts w:ascii="Times New Roman" w:eastAsia="Times New Roman" w:hAnsi="Times New Roman" w:cs="Times New Roman"/>
          <w:color w:val="000000"/>
          <w:kern w:val="0"/>
          <w:lang w:eastAsia="it-IT"/>
          <w14:ligatures w14:val="none"/>
        </w:rPr>
        <w:t>. n. 25317 e n. 25318 del 2022).</w:t>
      </w:r>
    </w:p>
    <w:p w14:paraId="1453AB7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Contestualmente, il diritto vivente ha sottolineato che lo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fondato sul vincolo di filiazione ha carattere «permanente ed è imprescrittibile [e] giustiziabile in ogni tempo in base alla semplice prova della fattispecie acquisitiva integrata dalla nascita da cittadino italiano» (le citate Cass., </w:t>
      </w:r>
      <w:proofErr w:type="spellStart"/>
      <w:r w:rsidRPr="0018306D">
        <w:rPr>
          <w:rFonts w:ascii="Times New Roman" w:eastAsia="Times New Roman" w:hAnsi="Times New Roman" w:cs="Times New Roman"/>
          <w:color w:val="000000"/>
          <w:kern w:val="0"/>
          <w:lang w:eastAsia="it-IT"/>
          <w14:ligatures w14:val="none"/>
        </w:rPr>
        <w:t>sent</w:t>
      </w:r>
      <w:proofErr w:type="spellEnd"/>
      <w:r w:rsidRPr="0018306D">
        <w:rPr>
          <w:rFonts w:ascii="Times New Roman" w:eastAsia="Times New Roman" w:hAnsi="Times New Roman" w:cs="Times New Roman"/>
          <w:color w:val="000000"/>
          <w:kern w:val="0"/>
          <w:lang w:eastAsia="it-IT"/>
          <w14:ligatures w14:val="none"/>
        </w:rPr>
        <w:t>. n. 25317 e n. 25318 del 2022).</w:t>
      </w:r>
    </w:p>
    <w:p w14:paraId="68E492C5"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6.3.– A fronte del richiamato assetto normativo, </w:t>
      </w:r>
      <w:r w:rsidRPr="0018306D">
        <w:rPr>
          <w:rFonts w:ascii="Times New Roman" w:eastAsia="Times New Roman" w:hAnsi="Times New Roman" w:cs="Times New Roman"/>
          <w:color w:val="EE0000"/>
          <w:kern w:val="0"/>
          <w:lang w:eastAsia="it-IT"/>
          <w14:ligatures w14:val="none"/>
        </w:rPr>
        <w:t xml:space="preserve">è intervenuto, nella pendenza del presente giudizio, il </w:t>
      </w:r>
      <w:proofErr w:type="spellStart"/>
      <w:r w:rsidRPr="0018306D">
        <w:rPr>
          <w:rFonts w:ascii="Times New Roman" w:eastAsia="Times New Roman" w:hAnsi="Times New Roman" w:cs="Times New Roman"/>
          <w:color w:val="EE0000"/>
          <w:kern w:val="0"/>
          <w:lang w:eastAsia="it-IT"/>
          <w14:ligatures w14:val="none"/>
        </w:rPr>
        <w:t>d.l.</w:t>
      </w:r>
      <w:proofErr w:type="spellEnd"/>
      <w:r w:rsidRPr="0018306D">
        <w:rPr>
          <w:rFonts w:ascii="Times New Roman" w:eastAsia="Times New Roman" w:hAnsi="Times New Roman" w:cs="Times New Roman"/>
          <w:color w:val="EE0000"/>
          <w:kern w:val="0"/>
          <w:lang w:eastAsia="it-IT"/>
          <w14:ligatures w14:val="none"/>
        </w:rPr>
        <w:t xml:space="preserve"> n. 36 del 2025,</w:t>
      </w:r>
      <w:r w:rsidRPr="0018306D">
        <w:rPr>
          <w:rFonts w:ascii="Times New Roman" w:eastAsia="Times New Roman" w:hAnsi="Times New Roman" w:cs="Times New Roman"/>
          <w:color w:val="000000"/>
          <w:kern w:val="0"/>
          <w:lang w:eastAsia="it-IT"/>
          <w14:ligatures w14:val="none"/>
        </w:rPr>
        <w:t xml:space="preserve"> come convertito, </w:t>
      </w:r>
      <w:r w:rsidRPr="0018306D">
        <w:rPr>
          <w:rFonts w:ascii="Times New Roman" w:eastAsia="Times New Roman" w:hAnsi="Times New Roman" w:cs="Times New Roman"/>
          <w:color w:val="EE0000"/>
          <w:kern w:val="0"/>
          <w:lang w:eastAsia="it-IT"/>
          <w14:ligatures w14:val="none"/>
        </w:rPr>
        <w:t xml:space="preserve">che ha inciso sull’automatica correlazione fra cittadinanza e status </w:t>
      </w:r>
      <w:proofErr w:type="spellStart"/>
      <w:r w:rsidRPr="0018306D">
        <w:rPr>
          <w:rFonts w:ascii="Times New Roman" w:eastAsia="Times New Roman" w:hAnsi="Times New Roman" w:cs="Times New Roman"/>
          <w:color w:val="EE0000"/>
          <w:kern w:val="0"/>
          <w:lang w:eastAsia="it-IT"/>
          <w14:ligatures w14:val="none"/>
        </w:rPr>
        <w:t>filiationis</w:t>
      </w:r>
      <w:proofErr w:type="spellEnd"/>
      <w:r w:rsidRPr="0018306D">
        <w:rPr>
          <w:rFonts w:ascii="Times New Roman" w:eastAsia="Times New Roman" w:hAnsi="Times New Roman" w:cs="Times New Roman"/>
          <w:color w:val="EE0000"/>
          <w:kern w:val="0"/>
          <w:lang w:eastAsia="it-IT"/>
          <w14:ligatures w14:val="none"/>
        </w:rPr>
        <w:t>, nel caso di soggetti nati all’estero e in possesso di altra cittadinanza.</w:t>
      </w:r>
    </w:p>
    <w:p w14:paraId="23DF7A6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In particolare, l’art. 1, comma 1, del </w:t>
      </w:r>
      <w:proofErr w:type="spellStart"/>
      <w:r w:rsidRPr="0018306D">
        <w:rPr>
          <w:rFonts w:ascii="Times New Roman" w:eastAsia="Times New Roman" w:hAnsi="Times New Roman" w:cs="Times New Roman"/>
          <w:color w:val="000000"/>
          <w:kern w:val="0"/>
          <w:lang w:eastAsia="it-IT"/>
          <w14:ligatures w14:val="none"/>
        </w:rPr>
        <w:t>d.l.</w:t>
      </w:r>
      <w:proofErr w:type="spellEnd"/>
      <w:r w:rsidRPr="0018306D">
        <w:rPr>
          <w:rFonts w:ascii="Times New Roman" w:eastAsia="Times New Roman" w:hAnsi="Times New Roman" w:cs="Times New Roman"/>
          <w:color w:val="000000"/>
          <w:kern w:val="0"/>
          <w:lang w:eastAsia="it-IT"/>
          <w14:ligatures w14:val="none"/>
        </w:rPr>
        <w:t xml:space="preserve"> n. 36 del 2025, come convertito, ha aggiunto alla legge n. 91 del 1992 un nuovo art. 3-bis, il quale prevede che, «[i]n deroga agli articoli 1, 2, 3, 14 e 20 della presente legge, all’articolo 5 della legge 21 aprile 1983, n. 123, agli articoli 1, 2, 7, 10, 12 e 19 della legge 13 giugno 1912, n. 555, nonché agli articoli 4, 5, 7, 8 e 9 del codice civile approvato con </w:t>
      </w:r>
      <w:proofErr w:type="spellStart"/>
      <w:r w:rsidRPr="0018306D">
        <w:rPr>
          <w:rFonts w:ascii="Times New Roman" w:eastAsia="Times New Roman" w:hAnsi="Times New Roman" w:cs="Times New Roman"/>
          <w:color w:val="000000"/>
          <w:kern w:val="0"/>
          <w:lang w:eastAsia="it-IT"/>
          <w14:ligatures w14:val="none"/>
        </w:rPr>
        <w:t>r.d.</w:t>
      </w:r>
      <w:proofErr w:type="spellEnd"/>
      <w:r w:rsidRPr="0018306D">
        <w:rPr>
          <w:rFonts w:ascii="Times New Roman" w:eastAsia="Times New Roman" w:hAnsi="Times New Roman" w:cs="Times New Roman"/>
          <w:color w:val="000000"/>
          <w:kern w:val="0"/>
          <w:lang w:eastAsia="it-IT"/>
          <w14:ligatures w14:val="none"/>
        </w:rPr>
        <w:t xml:space="preserve"> n. </w:t>
      </w:r>
      <w:r w:rsidRPr="0018306D">
        <w:rPr>
          <w:rFonts w:ascii="Times New Roman" w:eastAsia="Times New Roman" w:hAnsi="Times New Roman" w:cs="Times New Roman"/>
          <w:color w:val="000000"/>
          <w:kern w:val="0"/>
          <w:lang w:eastAsia="it-IT"/>
          <w14:ligatures w14:val="none"/>
        </w:rPr>
        <w:lastRenderedPageBreak/>
        <w:t xml:space="preserve">2358 del 1865, </w:t>
      </w:r>
      <w:r w:rsidRPr="0018306D">
        <w:rPr>
          <w:rFonts w:ascii="Times New Roman" w:eastAsia="Times New Roman" w:hAnsi="Times New Roman" w:cs="Times New Roman"/>
          <w:color w:val="EE0000"/>
          <w:kern w:val="0"/>
          <w:lang w:eastAsia="it-IT"/>
          <w14:ligatures w14:val="none"/>
        </w:rPr>
        <w:t>è considerato non avere mai acquistato la cittadinanza italiana chi è nato all’estero anche prima della data di entrata in vigore del presente articolo ed è in possesso di altra cittadinanza, salvo che ricorra una delle seguenti condizioni</w:t>
      </w:r>
      <w:r w:rsidRPr="0018306D">
        <w:rPr>
          <w:rFonts w:ascii="Times New Roman" w:eastAsia="Times New Roman" w:hAnsi="Times New Roman" w:cs="Times New Roman"/>
          <w:color w:val="000000"/>
          <w:kern w:val="0"/>
          <w:lang w:eastAsia="it-IT"/>
          <w14:ligatures w14:val="none"/>
        </w:rPr>
        <w:t>».</w:t>
      </w:r>
    </w:p>
    <w:p w14:paraId="4F680F18"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EE0000"/>
          <w:kern w:val="0"/>
          <w:lang w:eastAsia="it-IT"/>
          <w14:ligatures w14:val="none"/>
        </w:rPr>
      </w:pPr>
      <w:r w:rsidRPr="0018306D">
        <w:rPr>
          <w:rFonts w:ascii="Times New Roman" w:eastAsia="Times New Roman" w:hAnsi="Times New Roman" w:cs="Times New Roman"/>
          <w:color w:val="EE0000"/>
          <w:kern w:val="0"/>
          <w:lang w:eastAsia="it-IT"/>
          <w14:ligatures w14:val="none"/>
        </w:rPr>
        <w:t>Le lettere a), a-bis) e b) individuano – nella presentazione alle autorità competenti della domanda di accertamento della cittadinanza, corredata dalla necessaria documentazione e presentata «entro le 23:59, ora di Roma, […] del 27 marzo 2025» – lo spartiacque che separa la persistente applicabilità della pregressa disciplina dall’operatività delle nuove condizioni richieste per l’acquisizione della cittadinanza iure sanguinis.</w:t>
      </w:r>
    </w:p>
    <w:p w14:paraId="6617FCB5"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EE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Queste ultime sono, in particolare, indicate dalle lettere c) e d), le quali stabiliscono </w:t>
      </w:r>
      <w:r w:rsidRPr="0018306D">
        <w:rPr>
          <w:rFonts w:ascii="Times New Roman" w:eastAsia="Times New Roman" w:hAnsi="Times New Roman" w:cs="Times New Roman"/>
          <w:color w:val="EE0000"/>
          <w:kern w:val="0"/>
          <w:lang w:eastAsia="it-IT"/>
          <w14:ligatures w14:val="none"/>
        </w:rPr>
        <w:t>che la cittadinanza italiana si acquista attraverso il vincolo di filiazione: se l’ascendente di primo o di secondo grado possiede, o possedeva al momento della morte, esclusivamente la cittadinanza italiana; oppure, se il genitore o il genitore adottivo è stato residente in Italia per almeno due anni continuativi successivamente all’acquisto della cittadinanza italiana e prima della data di nascita o di adozione del figlio.</w:t>
      </w:r>
    </w:p>
    <w:p w14:paraId="4146A8A9"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Vengono poi stabilite, all’art. 1, commi 1-bis e 1-ter, del </w:t>
      </w:r>
      <w:proofErr w:type="spellStart"/>
      <w:r w:rsidRPr="0018306D">
        <w:rPr>
          <w:rFonts w:ascii="Times New Roman" w:eastAsia="Times New Roman" w:hAnsi="Times New Roman" w:cs="Times New Roman"/>
          <w:color w:val="000000"/>
          <w:kern w:val="0"/>
          <w:lang w:eastAsia="it-IT"/>
          <w14:ligatures w14:val="none"/>
        </w:rPr>
        <w:t>d.l.</w:t>
      </w:r>
      <w:proofErr w:type="spellEnd"/>
      <w:r w:rsidRPr="0018306D">
        <w:rPr>
          <w:rFonts w:ascii="Times New Roman" w:eastAsia="Times New Roman" w:hAnsi="Times New Roman" w:cs="Times New Roman"/>
          <w:color w:val="000000"/>
          <w:kern w:val="0"/>
          <w:lang w:eastAsia="it-IT"/>
          <w14:ligatures w14:val="none"/>
        </w:rPr>
        <w:t xml:space="preserve"> n. 36 del 2025, come convertito (disposizioni che integrano l’art. 4 della legge n. 91 del 1992 con i commi 1-bis e 1-ter), varie condizioni cumulative per consentire al figlio minore di un genitore italiano, che non rientri nelle previsioni dell’art. 3-bis, di acquisire la cittadinanza. Nel caso, poi, di acquisto o riacquisto della cittadinanza da parte del genitore, la fattispecie acquisitiva dello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a favore del figlio minore richiede la residenza di quest’ultimo in Italia, legale e continuativa, protratta per due anni o, qualora il figlio abbia meno di due anni, a partire dalla nascita (art. 1, comma 1-quater, del </w:t>
      </w:r>
      <w:proofErr w:type="spellStart"/>
      <w:r w:rsidRPr="0018306D">
        <w:rPr>
          <w:rFonts w:ascii="Times New Roman" w:eastAsia="Times New Roman" w:hAnsi="Times New Roman" w:cs="Times New Roman"/>
          <w:color w:val="000000"/>
          <w:kern w:val="0"/>
          <w:lang w:eastAsia="it-IT"/>
          <w14:ligatures w14:val="none"/>
        </w:rPr>
        <w:t>d.l.</w:t>
      </w:r>
      <w:proofErr w:type="spellEnd"/>
      <w:r w:rsidRPr="0018306D">
        <w:rPr>
          <w:rFonts w:ascii="Times New Roman" w:eastAsia="Times New Roman" w:hAnsi="Times New Roman" w:cs="Times New Roman"/>
          <w:color w:val="000000"/>
          <w:kern w:val="0"/>
          <w:lang w:eastAsia="it-IT"/>
          <w14:ligatures w14:val="none"/>
        </w:rPr>
        <w:t xml:space="preserve"> n. 36 del 2025, come convertito, che integra l’art. 14, comma 1, della legge n. 91 del 1992).</w:t>
      </w:r>
    </w:p>
    <w:p w14:paraId="4EC12D5E"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Infine, vengono estese al discendente del cittadino italiano le norme che operano per il discendente di chi ha perso la cittadinanza italiana (art. 1, comma 1-bis, del </w:t>
      </w:r>
      <w:proofErr w:type="spellStart"/>
      <w:r w:rsidRPr="0018306D">
        <w:rPr>
          <w:rFonts w:ascii="Times New Roman" w:eastAsia="Times New Roman" w:hAnsi="Times New Roman" w:cs="Times New Roman"/>
          <w:color w:val="000000"/>
          <w:kern w:val="0"/>
          <w:lang w:eastAsia="it-IT"/>
          <w14:ligatures w14:val="none"/>
        </w:rPr>
        <w:t>d.l.</w:t>
      </w:r>
      <w:proofErr w:type="spellEnd"/>
      <w:r w:rsidRPr="0018306D">
        <w:rPr>
          <w:rFonts w:ascii="Times New Roman" w:eastAsia="Times New Roman" w:hAnsi="Times New Roman" w:cs="Times New Roman"/>
          <w:color w:val="000000"/>
          <w:kern w:val="0"/>
          <w:lang w:eastAsia="it-IT"/>
          <w14:ligatures w14:val="none"/>
        </w:rPr>
        <w:t xml:space="preserve"> n. 36 del 2025, come convertito, che estende il raggio operativo dell’art. 4, comma 1, della legge n. 91 del 1992; nonché art. 1-bis, comma 2, del </w:t>
      </w:r>
      <w:proofErr w:type="spellStart"/>
      <w:r w:rsidRPr="0018306D">
        <w:rPr>
          <w:rFonts w:ascii="Times New Roman" w:eastAsia="Times New Roman" w:hAnsi="Times New Roman" w:cs="Times New Roman"/>
          <w:color w:val="000000"/>
          <w:kern w:val="0"/>
          <w:lang w:eastAsia="it-IT"/>
          <w14:ligatures w14:val="none"/>
        </w:rPr>
        <w:t>d.l.</w:t>
      </w:r>
      <w:proofErr w:type="spellEnd"/>
      <w:r w:rsidRPr="0018306D">
        <w:rPr>
          <w:rFonts w:ascii="Times New Roman" w:eastAsia="Times New Roman" w:hAnsi="Times New Roman" w:cs="Times New Roman"/>
          <w:color w:val="000000"/>
          <w:kern w:val="0"/>
          <w:lang w:eastAsia="it-IT"/>
          <w14:ligatures w14:val="none"/>
        </w:rPr>
        <w:t xml:space="preserve"> n. 36 del 2025, come convertito, che integra l’art. 9, comma 1, della legge n. 91 del 1992).</w:t>
      </w:r>
    </w:p>
    <w:p w14:paraId="63F63E0C"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7.– Stante tale quadro normativo di riferimento, la nuova disciplina, al di là delle assonanze rispetto a quanto prospettato nelle ordinanze di rimessione, non si riverbera sulla rilevanza delle questioni sollevate dalle stesse.</w:t>
      </w:r>
    </w:p>
    <w:p w14:paraId="78B7367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EE0000"/>
          <w:kern w:val="0"/>
          <w:lang w:eastAsia="it-IT"/>
          <w14:ligatures w14:val="none"/>
        </w:rPr>
        <w:t>Tutte le controversie oggetto dei giudizi principali sono state, infatti, introdotte sulla base di domande giudiziali presentate prima del 27 marzo 2025, sicché</w:t>
      </w:r>
      <w:r w:rsidRPr="0018306D">
        <w:rPr>
          <w:rFonts w:ascii="Times New Roman" w:eastAsia="Times New Roman" w:hAnsi="Times New Roman" w:cs="Times New Roman"/>
          <w:color w:val="000000"/>
          <w:kern w:val="0"/>
          <w:lang w:eastAsia="it-IT"/>
          <w14:ligatures w14:val="none"/>
        </w:rPr>
        <w:t xml:space="preserve"> – ai sensi dell’art. 3-bis, comma 1, lettera b), della legge n. 91 del 1992, introdotto con l’art. 1, comma 1, del </w:t>
      </w:r>
      <w:proofErr w:type="spellStart"/>
      <w:r w:rsidRPr="0018306D">
        <w:rPr>
          <w:rFonts w:ascii="Times New Roman" w:eastAsia="Times New Roman" w:hAnsi="Times New Roman" w:cs="Times New Roman"/>
          <w:color w:val="000000"/>
          <w:kern w:val="0"/>
          <w:lang w:eastAsia="it-IT"/>
          <w14:ligatures w14:val="none"/>
        </w:rPr>
        <w:t>d.l.</w:t>
      </w:r>
      <w:proofErr w:type="spellEnd"/>
      <w:r w:rsidRPr="0018306D">
        <w:rPr>
          <w:rFonts w:ascii="Times New Roman" w:eastAsia="Times New Roman" w:hAnsi="Times New Roman" w:cs="Times New Roman"/>
          <w:color w:val="000000"/>
          <w:kern w:val="0"/>
          <w:lang w:eastAsia="it-IT"/>
          <w14:ligatures w14:val="none"/>
        </w:rPr>
        <w:t xml:space="preserve"> n. 36 del 2025, come convertito – </w:t>
      </w:r>
      <w:r w:rsidRPr="0018306D">
        <w:rPr>
          <w:rFonts w:ascii="Times New Roman" w:eastAsia="Times New Roman" w:hAnsi="Times New Roman" w:cs="Times New Roman"/>
          <w:color w:val="EE0000"/>
          <w:kern w:val="0"/>
          <w:lang w:eastAsia="it-IT"/>
          <w14:ligatures w14:val="none"/>
        </w:rPr>
        <w:t xml:space="preserve">resta applicabile ai giudizi a </w:t>
      </w:r>
      <w:proofErr w:type="spellStart"/>
      <w:r w:rsidRPr="0018306D">
        <w:rPr>
          <w:rFonts w:ascii="Times New Roman" w:eastAsia="Times New Roman" w:hAnsi="Times New Roman" w:cs="Times New Roman"/>
          <w:color w:val="EE0000"/>
          <w:kern w:val="0"/>
          <w:lang w:eastAsia="it-IT"/>
          <w14:ligatures w14:val="none"/>
        </w:rPr>
        <w:t>quibus</w:t>
      </w:r>
      <w:proofErr w:type="spellEnd"/>
      <w:r w:rsidRPr="0018306D">
        <w:rPr>
          <w:rFonts w:ascii="Times New Roman" w:eastAsia="Times New Roman" w:hAnsi="Times New Roman" w:cs="Times New Roman"/>
          <w:color w:val="EE0000"/>
          <w:kern w:val="0"/>
          <w:lang w:eastAsia="it-IT"/>
          <w14:ligatures w14:val="none"/>
        </w:rPr>
        <w:t xml:space="preserve"> la pregressa disciplina,</w:t>
      </w:r>
      <w:r w:rsidRPr="0018306D">
        <w:rPr>
          <w:rFonts w:ascii="Times New Roman" w:eastAsia="Times New Roman" w:hAnsi="Times New Roman" w:cs="Times New Roman"/>
          <w:color w:val="000000"/>
          <w:kern w:val="0"/>
          <w:lang w:eastAsia="it-IT"/>
          <w14:ligatures w14:val="none"/>
        </w:rPr>
        <w:t xml:space="preserve"> cui si riferiscono le odierne censure.</w:t>
      </w:r>
    </w:p>
    <w:p w14:paraId="27B1407C"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Non sussistono, dunque, i presupposti per restituire gli atti ai rimettenti.</w:t>
      </w:r>
    </w:p>
    <w:p w14:paraId="49873CBB" w14:textId="77777777" w:rsidR="00F34F30" w:rsidRPr="00EE1559" w:rsidRDefault="00F34F30"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EE1559">
        <w:rPr>
          <w:rFonts w:ascii="Times New Roman" w:eastAsia="Times New Roman" w:hAnsi="Times New Roman" w:cs="Times New Roman"/>
          <w:color w:val="000000"/>
          <w:kern w:val="0"/>
          <w:lang w:eastAsia="it-IT"/>
          <w14:ligatures w14:val="none"/>
        </w:rPr>
        <w:t>[…]</w:t>
      </w:r>
    </w:p>
    <w:p w14:paraId="42E194C7" w14:textId="7CC5C0ED"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9.– Tanto premesso, si può procedere all’esame delle molteplici eccezioni di rito sollevate dalle parti, a partire da quelle che questa Corte reputa </w:t>
      </w:r>
      <w:proofErr w:type="spellStart"/>
      <w:r w:rsidRPr="0018306D">
        <w:rPr>
          <w:rFonts w:ascii="Times New Roman" w:eastAsia="Times New Roman" w:hAnsi="Times New Roman" w:cs="Times New Roman"/>
          <w:color w:val="000000"/>
          <w:kern w:val="0"/>
          <w:lang w:eastAsia="it-IT"/>
          <w14:ligatures w14:val="none"/>
        </w:rPr>
        <w:t>ictu</w:t>
      </w:r>
      <w:proofErr w:type="spellEnd"/>
      <w:r w:rsidRPr="0018306D">
        <w:rPr>
          <w:rFonts w:ascii="Times New Roman" w:eastAsia="Times New Roman" w:hAnsi="Times New Roman" w:cs="Times New Roman"/>
          <w:color w:val="000000"/>
          <w:kern w:val="0"/>
          <w:lang w:eastAsia="it-IT"/>
          <w14:ligatures w14:val="none"/>
        </w:rPr>
        <w:t xml:space="preserve"> oculi non fondate.</w:t>
      </w:r>
    </w:p>
    <w:p w14:paraId="6315729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9.1.– Sono tali, anzitutto, le eccezioni di inammissibilità che ritengono non correttamente assolto l’onere di motivare la non manifesta infondatezza, in quanto le ordinanze si porrebbero in contrasto con l’orientamento di questa Corte, della Corte di cassazione, nonché degli stessi Tribunali rimettenti, che, ad avviso delle parti, avrebbero asserito e confermato la «legittimità costituzionale» della disciplina contestata negli atti introduttivi.</w:t>
      </w:r>
    </w:p>
    <w:p w14:paraId="48DA75C1"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lastRenderedPageBreak/>
        <w:t xml:space="preserve">Occorre, anzitutto, rilevare che </w:t>
      </w:r>
      <w:r w:rsidRPr="0018306D">
        <w:rPr>
          <w:rFonts w:ascii="Times New Roman" w:eastAsia="Times New Roman" w:hAnsi="Times New Roman" w:cs="Times New Roman"/>
          <w:color w:val="EE0000"/>
          <w:kern w:val="0"/>
          <w:lang w:eastAsia="it-IT"/>
          <w14:ligatures w14:val="none"/>
        </w:rPr>
        <w:t>questa Corte, a oggi, non è mai stata investita dei dubbi di legittimità costituzionale che vengono in rilievo nelle odierne questioni</w:t>
      </w:r>
      <w:r w:rsidRPr="0018306D">
        <w:rPr>
          <w:rFonts w:ascii="Times New Roman" w:eastAsia="Times New Roman" w:hAnsi="Times New Roman" w:cs="Times New Roman"/>
          <w:color w:val="000000"/>
          <w:kern w:val="0"/>
          <w:lang w:eastAsia="it-IT"/>
          <w14:ligatures w14:val="none"/>
        </w:rPr>
        <w:t>. Ha avuto occasione, infatti, di pronunciarsi su tutt’altre censure riguardanti la medesima disposizione. In particolare, si è occupata della mancanza di una norma che consentisse l’acquisto della cittadinanza anche per linea materna (</w:t>
      </w:r>
      <w:hyperlink r:id="rId6" w:history="1">
        <w:r w:rsidRPr="0018306D">
          <w:rPr>
            <w:rFonts w:ascii="Times New Roman" w:eastAsia="Times New Roman" w:hAnsi="Times New Roman" w:cs="Times New Roman"/>
            <w:color w:val="0E10A1"/>
            <w:kern w:val="0"/>
            <w:u w:val="single"/>
            <w:shd w:val="clear" w:color="auto" w:fill="FBFB68"/>
            <w:lang w:eastAsia="it-IT"/>
            <w14:ligatures w14:val="none"/>
          </w:rPr>
          <w:t>sentenza n. 30 del 1983</w:t>
        </w:r>
      </w:hyperlink>
      <w:r w:rsidRPr="0018306D">
        <w:rPr>
          <w:rFonts w:ascii="Times New Roman" w:eastAsia="Times New Roman" w:hAnsi="Times New Roman" w:cs="Times New Roman"/>
          <w:color w:val="000000"/>
          <w:kern w:val="0"/>
          <w:lang w:eastAsia="it-IT"/>
          <w14:ligatures w14:val="none"/>
        </w:rPr>
        <w:t>), ma non della mancanza di una norma che limitasse il meccanismo acquisitivo iure sanguinis per persone nate all’estero, ivi residenti e con la cittadinanza di un altro Stato.</w:t>
      </w:r>
    </w:p>
    <w:p w14:paraId="7FE457F5"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In ogni caso, è doveroso, soprattutto, rammentare che questa Corte – diversamente da quanto prospettato dalle parti – giudica l’eventuale illegittimità costituzionale delle norme; pertanto, anche quando si pronuncia per la non fondatezza di una questione, non accerta la conformità a Costituzione della norma censurata, ma si limita a escludere la sussistenza dello specifico vulnus lamentato.</w:t>
      </w:r>
    </w:p>
    <w:p w14:paraId="0E0FBA43" w14:textId="77777777" w:rsidR="00F34F30" w:rsidRPr="00EE1559" w:rsidRDefault="00F34F30"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EE1559">
        <w:rPr>
          <w:rFonts w:ascii="Times New Roman" w:eastAsia="Times New Roman" w:hAnsi="Times New Roman" w:cs="Times New Roman"/>
          <w:color w:val="000000"/>
          <w:kern w:val="0"/>
          <w:lang w:eastAsia="it-IT"/>
          <w14:ligatures w14:val="none"/>
        </w:rPr>
        <w:t>[…]</w:t>
      </w:r>
    </w:p>
    <w:p w14:paraId="51CA2B42" w14:textId="42DC0745"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11.– Occorre, invece, ora valutare l’eccezione di inammissibilità per essere la materia riservata alla discrezionalità del legislatore, fatta valere da tutte le difese delle parti.</w:t>
      </w:r>
    </w:p>
    <w:p w14:paraId="53EA5C71"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In particolare, alcune di esse ritengono che questa Corte non possa «mettere in discussione quella che è stata e quella che è una scelta» del legislatore effettuata in materia di cittadinanza, frutto di una sua precisa valutazione «discrezionale».</w:t>
      </w:r>
    </w:p>
    <w:p w14:paraId="60E9303E"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Considerano, pertanto, l’eventuale accoglimento delle questioni di legittimità costituzionale alla stregua di una «violazione dell’articolo 70 Cost. in relazione al detentore della funzione legislativa, dell’articolo 71 Cost. in relazione ai soggetti titolari di iniziativa legislativa e dell’articolo 134 Cost. in relazione alle funzioni di questa Ecc.ma Corte Costituzionale».</w:t>
      </w:r>
    </w:p>
    <w:p w14:paraId="6CECA884"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L’eccezione – nei termini sopra prospettati – non è fondata.</w:t>
      </w:r>
    </w:p>
    <w:p w14:paraId="4E09C2A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11.1.– Questa Corte riconosce «che il legislatore </w:t>
      </w:r>
      <w:proofErr w:type="spellStart"/>
      <w:r w:rsidRPr="0018306D">
        <w:rPr>
          <w:rFonts w:ascii="Times New Roman" w:eastAsia="Times New Roman" w:hAnsi="Times New Roman" w:cs="Times New Roman"/>
          <w:color w:val="000000"/>
          <w:kern w:val="0"/>
          <w:lang w:eastAsia="it-IT"/>
          <w14:ligatures w14:val="none"/>
        </w:rPr>
        <w:t>god</w:t>
      </w:r>
      <w:proofErr w:type="spellEnd"/>
      <w:r w:rsidRPr="0018306D">
        <w:rPr>
          <w:rFonts w:ascii="Times New Roman" w:eastAsia="Times New Roman" w:hAnsi="Times New Roman" w:cs="Times New Roman"/>
          <w:color w:val="000000"/>
          <w:kern w:val="0"/>
          <w:lang w:eastAsia="it-IT"/>
          <w14:ligatures w14:val="none"/>
        </w:rPr>
        <w:t>[e] di ampia discrezionalità nella disciplina dell’attribuzione della cittadinanza» (</w:t>
      </w:r>
      <w:hyperlink r:id="rId7" w:history="1">
        <w:r w:rsidRPr="0018306D">
          <w:rPr>
            <w:rFonts w:ascii="Times New Roman" w:eastAsia="Times New Roman" w:hAnsi="Times New Roman" w:cs="Times New Roman"/>
            <w:color w:val="0E10A1"/>
            <w:kern w:val="0"/>
            <w:u w:val="single"/>
            <w:shd w:val="clear" w:color="auto" w:fill="FBFB68"/>
            <w:lang w:eastAsia="it-IT"/>
            <w14:ligatures w14:val="none"/>
          </w:rPr>
          <w:t>sentenza n. 25 del 2025</w:t>
        </w:r>
      </w:hyperlink>
      <w:r w:rsidRPr="0018306D">
        <w:rPr>
          <w:rFonts w:ascii="Times New Roman" w:eastAsia="Times New Roman" w:hAnsi="Times New Roman" w:cs="Times New Roman"/>
          <w:color w:val="000000"/>
          <w:kern w:val="0"/>
          <w:lang w:eastAsia="it-IT"/>
          <w14:ligatures w14:val="none"/>
        </w:rPr>
        <w:t>). Nondimeno, le norme dettate in materia, non diversamente da altre discipline connotate da elevata discrezionalità, «non si sottraggono per questo al giudizio di costituzionalità, in quanto devono pur sempre essere compiute secondo canoni di non manifesta irragionevolezza e di proporzionalità rispetto alle finalità perseguite (tra le altre, sentenze </w:t>
      </w:r>
      <w:hyperlink r:id="rId8" w:history="1">
        <w:r w:rsidRPr="0018306D">
          <w:rPr>
            <w:rFonts w:ascii="Times New Roman" w:eastAsia="Times New Roman" w:hAnsi="Times New Roman" w:cs="Times New Roman"/>
            <w:color w:val="0E10A1"/>
            <w:kern w:val="0"/>
            <w:u w:val="single"/>
            <w:shd w:val="clear" w:color="auto" w:fill="FBFB68"/>
            <w:lang w:eastAsia="it-IT"/>
            <w14:ligatures w14:val="none"/>
          </w:rPr>
          <w:t>n. 88 del 2023</w:t>
        </w:r>
      </w:hyperlink>
      <w:r w:rsidRPr="0018306D">
        <w:rPr>
          <w:rFonts w:ascii="Times New Roman" w:eastAsia="Times New Roman" w:hAnsi="Times New Roman" w:cs="Times New Roman"/>
          <w:color w:val="000000"/>
          <w:kern w:val="0"/>
          <w:lang w:eastAsia="it-IT"/>
          <w14:ligatures w14:val="none"/>
        </w:rPr>
        <w:t>, </w:t>
      </w:r>
      <w:hyperlink r:id="rId9" w:history="1">
        <w:r w:rsidRPr="0018306D">
          <w:rPr>
            <w:rFonts w:ascii="Times New Roman" w:eastAsia="Times New Roman" w:hAnsi="Times New Roman" w:cs="Times New Roman"/>
            <w:color w:val="0E10A1"/>
            <w:kern w:val="0"/>
            <w:u w:val="single"/>
            <w:shd w:val="clear" w:color="auto" w:fill="FBFB68"/>
            <w:lang w:eastAsia="it-IT"/>
            <w14:ligatures w14:val="none"/>
          </w:rPr>
          <w:t>n. 194 del 2019</w:t>
        </w:r>
      </w:hyperlink>
      <w:r w:rsidRPr="0018306D">
        <w:rPr>
          <w:rFonts w:ascii="Times New Roman" w:eastAsia="Times New Roman" w:hAnsi="Times New Roman" w:cs="Times New Roman"/>
          <w:color w:val="000000"/>
          <w:kern w:val="0"/>
          <w:lang w:eastAsia="it-IT"/>
          <w14:ligatures w14:val="none"/>
        </w:rPr>
        <w:t>, </w:t>
      </w:r>
      <w:hyperlink r:id="rId10" w:history="1">
        <w:r w:rsidRPr="0018306D">
          <w:rPr>
            <w:rFonts w:ascii="Times New Roman" w:eastAsia="Times New Roman" w:hAnsi="Times New Roman" w:cs="Times New Roman"/>
            <w:color w:val="0E10A1"/>
            <w:kern w:val="0"/>
            <w:u w:val="single"/>
            <w:shd w:val="clear" w:color="auto" w:fill="FBFB68"/>
            <w:lang w:eastAsia="it-IT"/>
            <w14:ligatures w14:val="none"/>
          </w:rPr>
          <w:t>n. 202 del 2013</w:t>
        </w:r>
      </w:hyperlink>
      <w:r w:rsidRPr="0018306D">
        <w:rPr>
          <w:rFonts w:ascii="Times New Roman" w:eastAsia="Times New Roman" w:hAnsi="Times New Roman" w:cs="Times New Roman"/>
          <w:color w:val="000000"/>
          <w:kern w:val="0"/>
          <w:lang w:eastAsia="it-IT"/>
          <w14:ligatures w14:val="none"/>
        </w:rPr>
        <w:t> e </w:t>
      </w:r>
      <w:hyperlink r:id="rId11" w:history="1">
        <w:r w:rsidRPr="0018306D">
          <w:rPr>
            <w:rFonts w:ascii="Times New Roman" w:eastAsia="Times New Roman" w:hAnsi="Times New Roman" w:cs="Times New Roman"/>
            <w:color w:val="0E10A1"/>
            <w:kern w:val="0"/>
            <w:u w:val="single"/>
            <w:shd w:val="clear" w:color="auto" w:fill="FBFB68"/>
            <w:lang w:eastAsia="it-IT"/>
            <w14:ligatures w14:val="none"/>
          </w:rPr>
          <w:t>n. 245 del 2011</w:t>
        </w:r>
      </w:hyperlink>
      <w:r w:rsidRPr="0018306D">
        <w:rPr>
          <w:rFonts w:ascii="Times New Roman" w:eastAsia="Times New Roman" w:hAnsi="Times New Roman" w:cs="Times New Roman"/>
          <w:color w:val="000000"/>
          <w:kern w:val="0"/>
          <w:lang w:eastAsia="it-IT"/>
          <w14:ligatures w14:val="none"/>
        </w:rPr>
        <w:t>)» (</w:t>
      </w:r>
      <w:hyperlink r:id="rId12" w:history="1">
        <w:r w:rsidRPr="0018306D">
          <w:rPr>
            <w:rFonts w:ascii="Times New Roman" w:eastAsia="Times New Roman" w:hAnsi="Times New Roman" w:cs="Times New Roman"/>
            <w:color w:val="0E10A1"/>
            <w:kern w:val="0"/>
            <w:u w:val="single"/>
            <w:shd w:val="clear" w:color="auto" w:fill="FBFB68"/>
            <w:lang w:eastAsia="it-IT"/>
            <w14:ligatures w14:val="none"/>
          </w:rPr>
          <w:t>sentenza n. 25 del 2025</w:t>
        </w:r>
      </w:hyperlink>
      <w:r w:rsidRPr="0018306D">
        <w:rPr>
          <w:rFonts w:ascii="Times New Roman" w:eastAsia="Times New Roman" w:hAnsi="Times New Roman" w:cs="Times New Roman"/>
          <w:color w:val="000000"/>
          <w:kern w:val="0"/>
          <w:lang w:eastAsia="it-IT"/>
          <w14:ligatures w14:val="none"/>
        </w:rPr>
        <w:t> e, in senso analogo, </w:t>
      </w:r>
      <w:hyperlink r:id="rId13" w:history="1">
        <w:r w:rsidRPr="0018306D">
          <w:rPr>
            <w:rFonts w:ascii="Times New Roman" w:eastAsia="Times New Roman" w:hAnsi="Times New Roman" w:cs="Times New Roman"/>
            <w:color w:val="0E10A1"/>
            <w:kern w:val="0"/>
            <w:u w:val="single"/>
            <w:shd w:val="clear" w:color="auto" w:fill="FBFB68"/>
            <w:lang w:eastAsia="it-IT"/>
            <w14:ligatures w14:val="none"/>
          </w:rPr>
          <w:t>sentenza n. 195 del 2022</w:t>
        </w:r>
      </w:hyperlink>
      <w:r w:rsidRPr="0018306D">
        <w:rPr>
          <w:rFonts w:ascii="Times New Roman" w:eastAsia="Times New Roman" w:hAnsi="Times New Roman" w:cs="Times New Roman"/>
          <w:color w:val="000000"/>
          <w:kern w:val="0"/>
          <w:lang w:eastAsia="it-IT"/>
          <w14:ligatures w14:val="none"/>
        </w:rPr>
        <w:t>).</w:t>
      </w:r>
    </w:p>
    <w:p w14:paraId="677DF78E"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In particolare, la giurisprudenza costituzionale ha escluso che un criterio fondativo della cittadinanza possa essere connotato in termini discriminatori (così la già citata </w:t>
      </w:r>
      <w:hyperlink r:id="rId14" w:history="1">
        <w:r w:rsidRPr="0018306D">
          <w:rPr>
            <w:rFonts w:ascii="Times New Roman" w:eastAsia="Times New Roman" w:hAnsi="Times New Roman" w:cs="Times New Roman"/>
            <w:color w:val="0E10A1"/>
            <w:kern w:val="0"/>
            <w:u w:val="single"/>
            <w:shd w:val="clear" w:color="auto" w:fill="FBFB68"/>
            <w:lang w:eastAsia="it-IT"/>
            <w14:ligatures w14:val="none"/>
          </w:rPr>
          <w:t>sentenza n. 30 del 1983</w:t>
        </w:r>
      </w:hyperlink>
      <w:r w:rsidRPr="0018306D">
        <w:rPr>
          <w:rFonts w:ascii="Times New Roman" w:eastAsia="Times New Roman" w:hAnsi="Times New Roman" w:cs="Times New Roman"/>
          <w:color w:val="000000"/>
          <w:kern w:val="0"/>
          <w:lang w:eastAsia="it-IT"/>
          <w14:ligatures w14:val="none"/>
        </w:rPr>
        <w:t>, che ha ravvisato una violazione dell’art. 3 Cost., nella disciplina che prevedeva «l’acquisto originario soltanto della cittadinanza del padre», senza contemplare il medesimo acquisto a titolo originario anche in caso di cittadinanza italiana della madre). Di seguito, questa Corte ha ritenuto manifestamente irragionevoli e sproporzionate, nel loro applicarsi a persone affette da infermità o da menomazione di natura fisica o psichica, norme attributive della cittadinanza che richiedevano la dimostrazione di conoscenze o il compimento di atti nei loro confronti non esigibili (sentenze </w:t>
      </w:r>
      <w:hyperlink r:id="rId15" w:history="1">
        <w:r w:rsidRPr="0018306D">
          <w:rPr>
            <w:rFonts w:ascii="Times New Roman" w:eastAsia="Times New Roman" w:hAnsi="Times New Roman" w:cs="Times New Roman"/>
            <w:color w:val="0E10A1"/>
            <w:kern w:val="0"/>
            <w:u w:val="single"/>
            <w:shd w:val="clear" w:color="auto" w:fill="FBFB68"/>
            <w:lang w:eastAsia="it-IT"/>
            <w14:ligatures w14:val="none"/>
          </w:rPr>
          <w:t>n. 25 del 2025</w:t>
        </w:r>
      </w:hyperlink>
      <w:r w:rsidRPr="0018306D">
        <w:rPr>
          <w:rFonts w:ascii="Times New Roman" w:eastAsia="Times New Roman" w:hAnsi="Times New Roman" w:cs="Times New Roman"/>
          <w:color w:val="000000"/>
          <w:kern w:val="0"/>
          <w:lang w:eastAsia="it-IT"/>
          <w14:ligatures w14:val="none"/>
        </w:rPr>
        <w:t> e </w:t>
      </w:r>
      <w:hyperlink r:id="rId16" w:history="1">
        <w:r w:rsidRPr="0018306D">
          <w:rPr>
            <w:rFonts w:ascii="Times New Roman" w:eastAsia="Times New Roman" w:hAnsi="Times New Roman" w:cs="Times New Roman"/>
            <w:color w:val="0E10A1"/>
            <w:kern w:val="0"/>
            <w:u w:val="single"/>
            <w:shd w:val="clear" w:color="auto" w:fill="FBFB68"/>
            <w:lang w:eastAsia="it-IT"/>
            <w14:ligatures w14:val="none"/>
          </w:rPr>
          <w:t>n. 258 del 2017</w:t>
        </w:r>
      </w:hyperlink>
      <w:r w:rsidRPr="0018306D">
        <w:rPr>
          <w:rFonts w:ascii="Times New Roman" w:eastAsia="Times New Roman" w:hAnsi="Times New Roman" w:cs="Times New Roman"/>
          <w:color w:val="000000"/>
          <w:kern w:val="0"/>
          <w:lang w:eastAsia="it-IT"/>
          <w14:ligatures w14:val="none"/>
        </w:rPr>
        <w:t>). E ancora, ha dichiarato costituzionalmente illegittima una norma che irragionevolmente includeva, nel novero delle cause ostative al riconoscimento della cittadinanza, la morte del coniuge del richiedente, sopravvenuta in pendenza dei termini previsti per la conclusione del procedimento (</w:t>
      </w:r>
      <w:hyperlink r:id="rId17" w:history="1">
        <w:r w:rsidRPr="0018306D">
          <w:rPr>
            <w:rFonts w:ascii="Times New Roman" w:eastAsia="Times New Roman" w:hAnsi="Times New Roman" w:cs="Times New Roman"/>
            <w:color w:val="0E10A1"/>
            <w:kern w:val="0"/>
            <w:u w:val="single"/>
            <w:shd w:val="clear" w:color="auto" w:fill="FBFB68"/>
            <w:lang w:eastAsia="it-IT"/>
            <w14:ligatures w14:val="none"/>
          </w:rPr>
          <w:t>sentenza n. 195 del 2022</w:t>
        </w:r>
      </w:hyperlink>
      <w:r w:rsidRPr="0018306D">
        <w:rPr>
          <w:rFonts w:ascii="Times New Roman" w:eastAsia="Times New Roman" w:hAnsi="Times New Roman" w:cs="Times New Roman"/>
          <w:color w:val="000000"/>
          <w:kern w:val="0"/>
          <w:lang w:eastAsia="it-IT"/>
          <w14:ligatures w14:val="none"/>
        </w:rPr>
        <w:t>).</w:t>
      </w:r>
    </w:p>
    <w:p w14:paraId="668EEFD4"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11.2.– Non sfugge, invero, a questa Corte la peculiarità della censura sollevata in riferimento agli artt. 1, secondo comma, e 3 Cost., che contesta il mancato rispetto della nozione di popolo quale sarebbe riflessa nelle norme che la Costituzione dedica alla cittadinanza.</w:t>
      </w:r>
    </w:p>
    <w:p w14:paraId="149391C7"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Occorre, invero, a riguardo sottolineare che la Costituzione non dà una definizione di popolo e si limita a delineare tratti della cittadinanza, immersi nella complessità del testo costituzionale.</w:t>
      </w:r>
    </w:p>
    <w:p w14:paraId="7C4C3922"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lastRenderedPageBreak/>
        <w:t>La Costituzione associa la cittadinanza primariamente alla partecipazione politica e ai diritti politici (Titolo IV della Parte prima della Costituzione).</w:t>
      </w:r>
    </w:p>
    <w:p w14:paraId="1338D64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Riferisce, poi, ai cittadini la titolarità di diritti e di doveri (fra i quali il dovere di difesa della Patria; quello di concorrere alle spese pubbliche e il dovere di fedeltà). Tale attribuzione di diritti e di doveri si colloca, nondimeno, nel contesto di una fonte – la Costituzione –, i cui principi fondamentali garantiscono a ciascuna persona i diritti inviolabili e lo stesso principio di eguaglianza (già </w:t>
      </w:r>
      <w:hyperlink r:id="rId18" w:history="1">
        <w:r w:rsidRPr="0018306D">
          <w:rPr>
            <w:rFonts w:ascii="Times New Roman" w:eastAsia="Times New Roman" w:hAnsi="Times New Roman" w:cs="Times New Roman"/>
            <w:color w:val="0E10A1"/>
            <w:kern w:val="0"/>
            <w:u w:val="single"/>
            <w:shd w:val="clear" w:color="auto" w:fill="FBFB68"/>
            <w:lang w:eastAsia="it-IT"/>
            <w14:ligatures w14:val="none"/>
          </w:rPr>
          <w:t>sentenza n. 120 del 1967</w:t>
        </w:r>
      </w:hyperlink>
      <w:r w:rsidRPr="0018306D">
        <w:rPr>
          <w:rFonts w:ascii="Times New Roman" w:eastAsia="Times New Roman" w:hAnsi="Times New Roman" w:cs="Times New Roman"/>
          <w:color w:val="000000"/>
          <w:kern w:val="0"/>
          <w:lang w:eastAsia="it-IT"/>
          <w14:ligatures w14:val="none"/>
        </w:rPr>
        <w:t> e, negli stessi termini, da ultimo </w:t>
      </w:r>
      <w:hyperlink r:id="rId19" w:history="1">
        <w:r w:rsidRPr="0018306D">
          <w:rPr>
            <w:rFonts w:ascii="Times New Roman" w:eastAsia="Times New Roman" w:hAnsi="Times New Roman" w:cs="Times New Roman"/>
            <w:color w:val="0E10A1"/>
            <w:kern w:val="0"/>
            <w:u w:val="single"/>
            <w:shd w:val="clear" w:color="auto" w:fill="FBFB68"/>
            <w:lang w:eastAsia="it-IT"/>
            <w14:ligatures w14:val="none"/>
          </w:rPr>
          <w:t>sentenza n. 53 del 2024</w:t>
        </w:r>
      </w:hyperlink>
      <w:r w:rsidRPr="0018306D">
        <w:rPr>
          <w:rFonts w:ascii="Times New Roman" w:eastAsia="Times New Roman" w:hAnsi="Times New Roman" w:cs="Times New Roman"/>
          <w:color w:val="000000"/>
          <w:kern w:val="0"/>
          <w:lang w:eastAsia="it-IT"/>
          <w14:ligatures w14:val="none"/>
        </w:rPr>
        <w:t>) e le cui norme riferiscono taluni doveri di solidarietà anche a non cittadini (si consideri il dovere di concorrere alle spese pubbliche, che già il testo costituzionale, all’art. 53 Cost., ascrive a "tutti”, o la facoltà di prestare il servizio civile nazionale, che questa Corte ha esteso agli stranieri, qualificando la prestazione del richiamato servizio «come adempimento di un dovere di solidarietà [e] come un’opportunità di integrazione e di formazione alla cittadinanza», in tal senso, </w:t>
      </w:r>
      <w:hyperlink r:id="rId20" w:history="1">
        <w:r w:rsidRPr="0018306D">
          <w:rPr>
            <w:rFonts w:ascii="Times New Roman" w:eastAsia="Times New Roman" w:hAnsi="Times New Roman" w:cs="Times New Roman"/>
            <w:color w:val="0E10A1"/>
            <w:kern w:val="0"/>
            <w:u w:val="single"/>
            <w:shd w:val="clear" w:color="auto" w:fill="FBFB68"/>
            <w:lang w:eastAsia="it-IT"/>
            <w14:ligatures w14:val="none"/>
          </w:rPr>
          <w:t>sentenza n. 119 del 2015</w:t>
        </w:r>
      </w:hyperlink>
      <w:r w:rsidRPr="0018306D">
        <w:rPr>
          <w:rFonts w:ascii="Times New Roman" w:eastAsia="Times New Roman" w:hAnsi="Times New Roman" w:cs="Times New Roman"/>
          <w:color w:val="000000"/>
          <w:kern w:val="0"/>
          <w:lang w:eastAsia="it-IT"/>
          <w14:ligatures w14:val="none"/>
        </w:rPr>
        <w:t>).</w:t>
      </w:r>
    </w:p>
    <w:p w14:paraId="0680035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Ancora, la Costituzione richiama l’idea di cittadinanza quale appartenenza a una comunità che ha comuni radici culturali e linguistiche, ma, al contempo, disegna una comunità aperta al pluralismo e che tutela le minoranze. Infine, le norme costituzionali evocano una correlazione fra cittadinanza e territorio dello Stato, in quanto luogo che riflette un comune humus culturale e la condivisione dei principi costituzionali.</w:t>
      </w:r>
    </w:p>
    <w:p w14:paraId="780CA28D"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Dinanzi al senso articolato e complesso dei riferimenti costituzionali alla cittadinanza, spetta, dunque, al legislatore, che vanta un margine di discrezionalità particolarmente ampio, individuare i presupposti per l’acquisizione dello status.</w:t>
      </w:r>
    </w:p>
    <w:p w14:paraId="17C4F0C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Nondimeno, compete a questa Corte accertare – al metro della non manifesta irragionevolezza e sproporzione – che le norme che regolano l’acquisizione dello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non facciano ricorso a criteri del tutto estranei ai principi costituzionali e a quei molteplici tratti, che – come sopra evidenziato – connotano la cittadinanza.</w:t>
      </w:r>
    </w:p>
    <w:p w14:paraId="795628B5"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Resta ferma la possibilità per il legislatore di declinare in concreto anche i contenuti della cittadinanza, alla luce dei principi costituzionali.</w:t>
      </w:r>
    </w:p>
    <w:p w14:paraId="796491D9"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11.3.– Quanto sopra rilevato, trova corrispondenza nell’approccio che la Corte di giustizia ha adottato con riguardo ai vincoli imposti in materia di cittadinanza dal diritto dell’Unione europea, e in specie dall’art. 9 TUE e dall’art. 20 TFUE.</w:t>
      </w:r>
    </w:p>
    <w:p w14:paraId="223C39D4"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In termini generali, la Corte di giustizia ha riconosciuto che «[l]a determinazione dei modi di acquisto e di perdita della cittadinanza rientra, in conformità al diritto internazionale, nella competenza di ciascuno Stato membro» (Corte di giustizia, </w:t>
      </w:r>
      <w:hyperlink r:id="rId21" w:history="1">
        <w:r w:rsidRPr="0018306D">
          <w:rPr>
            <w:rFonts w:ascii="Times New Roman" w:eastAsia="Times New Roman" w:hAnsi="Times New Roman" w:cs="Times New Roman"/>
            <w:color w:val="0E10A1"/>
            <w:kern w:val="0"/>
            <w:u w:val="single"/>
            <w:shd w:val="clear" w:color="auto" w:fill="FBFB68"/>
            <w:lang w:eastAsia="it-IT"/>
            <w14:ligatures w14:val="none"/>
          </w:rPr>
          <w:t>sentenza 7 luglio 1992, causa C-369/90, Micheletti e altri</w:t>
        </w:r>
      </w:hyperlink>
      <w:r w:rsidRPr="0018306D">
        <w:rPr>
          <w:rFonts w:ascii="Times New Roman" w:eastAsia="Times New Roman" w:hAnsi="Times New Roman" w:cs="Times New Roman"/>
          <w:color w:val="000000"/>
          <w:kern w:val="0"/>
          <w:lang w:eastAsia="it-IT"/>
          <w14:ligatures w14:val="none"/>
        </w:rPr>
        <w:t>, punto 10).</w:t>
      </w:r>
    </w:p>
    <w:p w14:paraId="7B83479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Al contempo, tuttavia, la medesima Corte ha precisato che la competenza statale «deve essere esercitata nel rispetto del diritto dell’Unione» (Corte di giustizia, </w:t>
      </w:r>
      <w:hyperlink r:id="rId22" w:history="1">
        <w:r w:rsidRPr="0018306D">
          <w:rPr>
            <w:rFonts w:ascii="Times New Roman" w:eastAsia="Times New Roman" w:hAnsi="Times New Roman" w:cs="Times New Roman"/>
            <w:color w:val="0E10A1"/>
            <w:kern w:val="0"/>
            <w:u w:val="single"/>
            <w:shd w:val="clear" w:color="auto" w:fill="FBFB68"/>
            <w:lang w:eastAsia="it-IT"/>
            <w14:ligatures w14:val="none"/>
          </w:rPr>
          <w:t>grande sezione, sentenze 29 aprile 2025, causa C-181/23, Commissione europea contro Repubblica di Malta</w:t>
        </w:r>
      </w:hyperlink>
      <w:r w:rsidRPr="0018306D">
        <w:rPr>
          <w:rFonts w:ascii="Times New Roman" w:eastAsia="Times New Roman" w:hAnsi="Times New Roman" w:cs="Times New Roman"/>
          <w:color w:val="000000"/>
          <w:kern w:val="0"/>
          <w:lang w:eastAsia="it-IT"/>
          <w14:ligatures w14:val="none"/>
        </w:rPr>
        <w:t>, punti 42, 95 e 98; </w:t>
      </w:r>
      <w:hyperlink r:id="rId23" w:history="1">
        <w:r w:rsidRPr="0018306D">
          <w:rPr>
            <w:rFonts w:ascii="Times New Roman" w:eastAsia="Times New Roman" w:hAnsi="Times New Roman" w:cs="Times New Roman"/>
            <w:color w:val="0E10A1"/>
            <w:kern w:val="0"/>
            <w:u w:val="single"/>
            <w:shd w:val="clear" w:color="auto" w:fill="FBFB68"/>
            <w:lang w:eastAsia="it-IT"/>
            <w14:ligatures w14:val="none"/>
          </w:rPr>
          <w:t>5 settembre 2023, causa C-689/21</w:t>
        </w:r>
      </w:hyperlink>
      <w:r w:rsidRPr="0018306D">
        <w:rPr>
          <w:rFonts w:ascii="Times New Roman" w:eastAsia="Times New Roman" w:hAnsi="Times New Roman" w:cs="Times New Roman"/>
          <w:color w:val="000000"/>
          <w:kern w:val="0"/>
          <w:lang w:eastAsia="it-IT"/>
          <w14:ligatures w14:val="none"/>
        </w:rPr>
        <w:t>, </w:t>
      </w:r>
      <w:proofErr w:type="spellStart"/>
      <w:r w:rsidRPr="0018306D">
        <w:rPr>
          <w:rFonts w:ascii="Times New Roman" w:eastAsia="Times New Roman" w:hAnsi="Times New Roman" w:cs="Times New Roman"/>
          <w:color w:val="000000"/>
          <w:kern w:val="0"/>
          <w:lang w:eastAsia="it-IT"/>
          <w14:ligatures w14:val="none"/>
        </w:rPr>
        <w:fldChar w:fldCharType="begin"/>
      </w:r>
      <w:r w:rsidRPr="0018306D">
        <w:rPr>
          <w:rFonts w:ascii="Times New Roman" w:eastAsia="Times New Roman" w:hAnsi="Times New Roman" w:cs="Times New Roman"/>
          <w:color w:val="000000"/>
          <w:kern w:val="0"/>
          <w:lang w:eastAsia="it-IT"/>
          <w14:ligatures w14:val="none"/>
        </w:rPr>
        <w:instrText>HYPERLINK "https://eur-lex.europa.eu/legal-content/IT/TXT/HTML/?uri=CELEX:62020CJ0118_RES&amp;qid=1753970267893"</w:instrText>
      </w:r>
      <w:r w:rsidRPr="0018306D">
        <w:rPr>
          <w:rFonts w:ascii="Times New Roman" w:eastAsia="Times New Roman" w:hAnsi="Times New Roman" w:cs="Times New Roman"/>
          <w:color w:val="000000"/>
          <w:kern w:val="0"/>
          <w:lang w:eastAsia="it-IT"/>
          <w14:ligatures w14:val="none"/>
        </w:rPr>
      </w:r>
      <w:r w:rsidRPr="0018306D">
        <w:rPr>
          <w:rFonts w:ascii="Times New Roman" w:eastAsia="Times New Roman" w:hAnsi="Times New Roman" w:cs="Times New Roman"/>
          <w:color w:val="000000"/>
          <w:kern w:val="0"/>
          <w:lang w:eastAsia="it-IT"/>
          <w14:ligatures w14:val="none"/>
        </w:rPr>
        <w:fldChar w:fldCharType="separate"/>
      </w:r>
      <w:r w:rsidRPr="0018306D">
        <w:rPr>
          <w:rFonts w:ascii="Times New Roman" w:eastAsia="Times New Roman" w:hAnsi="Times New Roman" w:cs="Times New Roman"/>
          <w:color w:val="0E10A1"/>
          <w:kern w:val="0"/>
          <w:u w:val="single"/>
          <w:shd w:val="clear" w:color="auto" w:fill="FBFB68"/>
          <w:lang w:eastAsia="it-IT"/>
          <w14:ligatures w14:val="none"/>
        </w:rPr>
        <w:t>Udlændinge</w:t>
      </w:r>
      <w:proofErr w:type="spellEnd"/>
      <w:r w:rsidRPr="0018306D">
        <w:rPr>
          <w:rFonts w:ascii="Times New Roman" w:eastAsia="Times New Roman" w:hAnsi="Times New Roman" w:cs="Times New Roman"/>
          <w:color w:val="0E10A1"/>
          <w:kern w:val="0"/>
          <w:u w:val="single"/>
          <w:shd w:val="clear" w:color="auto" w:fill="FBFB68"/>
          <w:lang w:eastAsia="it-IT"/>
          <w14:ligatures w14:val="none"/>
        </w:rPr>
        <w:t xml:space="preserve">- </w:t>
      </w:r>
      <w:proofErr w:type="spellStart"/>
      <w:r w:rsidRPr="0018306D">
        <w:rPr>
          <w:rFonts w:ascii="Times New Roman" w:eastAsia="Times New Roman" w:hAnsi="Times New Roman" w:cs="Times New Roman"/>
          <w:color w:val="0E10A1"/>
          <w:kern w:val="0"/>
          <w:u w:val="single"/>
          <w:shd w:val="clear" w:color="auto" w:fill="FBFB68"/>
          <w:lang w:eastAsia="it-IT"/>
          <w14:ligatures w14:val="none"/>
        </w:rPr>
        <w:t>og</w:t>
      </w:r>
      <w:proofErr w:type="spellEnd"/>
      <w:r w:rsidRPr="0018306D">
        <w:rPr>
          <w:rFonts w:ascii="Times New Roman" w:eastAsia="Times New Roman" w:hAnsi="Times New Roman" w:cs="Times New Roman"/>
          <w:color w:val="0E10A1"/>
          <w:kern w:val="0"/>
          <w:u w:val="single"/>
          <w:shd w:val="clear" w:color="auto" w:fill="FBFB68"/>
          <w:lang w:eastAsia="it-IT"/>
          <w14:ligatures w14:val="none"/>
        </w:rPr>
        <w:t xml:space="preserve"> </w:t>
      </w:r>
      <w:proofErr w:type="spellStart"/>
      <w:r w:rsidRPr="0018306D">
        <w:rPr>
          <w:rFonts w:ascii="Times New Roman" w:eastAsia="Times New Roman" w:hAnsi="Times New Roman" w:cs="Times New Roman"/>
          <w:color w:val="0E10A1"/>
          <w:kern w:val="0"/>
          <w:u w:val="single"/>
          <w:shd w:val="clear" w:color="auto" w:fill="FBFB68"/>
          <w:lang w:eastAsia="it-IT"/>
          <w14:ligatures w14:val="none"/>
        </w:rPr>
        <w:t>Integrationsministeriet</w:t>
      </w:r>
      <w:proofErr w:type="spellEnd"/>
      <w:r w:rsidRPr="0018306D">
        <w:rPr>
          <w:rFonts w:ascii="Times New Roman" w:eastAsia="Times New Roman" w:hAnsi="Times New Roman" w:cs="Times New Roman"/>
          <w:color w:val="0E10A1"/>
          <w:kern w:val="0"/>
          <w:u w:val="single"/>
          <w:shd w:val="clear" w:color="auto" w:fill="FBFB68"/>
          <w:lang w:eastAsia="it-IT"/>
          <w14:ligatures w14:val="none"/>
        </w:rPr>
        <w:t>, punto 30; 18 gennaio 2022, causa C-118/20, JY</w:t>
      </w:r>
      <w:r w:rsidRPr="0018306D">
        <w:rPr>
          <w:rFonts w:ascii="Times New Roman" w:eastAsia="Times New Roman" w:hAnsi="Times New Roman" w:cs="Times New Roman"/>
          <w:color w:val="000000"/>
          <w:kern w:val="0"/>
          <w:lang w:eastAsia="it-IT"/>
          <w14:ligatures w14:val="none"/>
        </w:rPr>
        <w:fldChar w:fldCharType="end"/>
      </w:r>
      <w:r w:rsidRPr="0018306D">
        <w:rPr>
          <w:rFonts w:ascii="Times New Roman" w:eastAsia="Times New Roman" w:hAnsi="Times New Roman" w:cs="Times New Roman"/>
          <w:color w:val="000000"/>
          <w:kern w:val="0"/>
          <w:lang w:eastAsia="it-IT"/>
          <w14:ligatures w14:val="none"/>
        </w:rPr>
        <w:t>, punto 49; </w:t>
      </w:r>
      <w:hyperlink r:id="rId24" w:history="1">
        <w:r w:rsidRPr="0018306D">
          <w:rPr>
            <w:rFonts w:ascii="Times New Roman" w:eastAsia="Times New Roman" w:hAnsi="Times New Roman" w:cs="Times New Roman"/>
            <w:color w:val="0E10A1"/>
            <w:kern w:val="0"/>
            <w:u w:val="single"/>
            <w:shd w:val="clear" w:color="auto" w:fill="FBFB68"/>
            <w:lang w:eastAsia="it-IT"/>
            <w14:ligatures w14:val="none"/>
          </w:rPr>
          <w:t xml:space="preserve">2 marzo 2010, causa C-135/08, </w:t>
        </w:r>
        <w:proofErr w:type="spellStart"/>
        <w:r w:rsidRPr="0018306D">
          <w:rPr>
            <w:rFonts w:ascii="Times New Roman" w:eastAsia="Times New Roman" w:hAnsi="Times New Roman" w:cs="Times New Roman"/>
            <w:color w:val="0E10A1"/>
            <w:kern w:val="0"/>
            <w:u w:val="single"/>
            <w:shd w:val="clear" w:color="auto" w:fill="FBFB68"/>
            <w:lang w:eastAsia="it-IT"/>
            <w14:ligatures w14:val="none"/>
          </w:rPr>
          <w:t>Rottmann</w:t>
        </w:r>
        <w:proofErr w:type="spellEnd"/>
      </w:hyperlink>
      <w:r w:rsidRPr="0018306D">
        <w:rPr>
          <w:rFonts w:ascii="Times New Roman" w:eastAsia="Times New Roman" w:hAnsi="Times New Roman" w:cs="Times New Roman"/>
          <w:color w:val="000000"/>
          <w:kern w:val="0"/>
          <w:lang w:eastAsia="it-IT"/>
          <w14:ligatures w14:val="none"/>
        </w:rPr>
        <w:t>, punto 45; e la citata </w:t>
      </w:r>
      <w:hyperlink r:id="rId25" w:history="1">
        <w:r w:rsidRPr="0018306D">
          <w:rPr>
            <w:rFonts w:ascii="Times New Roman" w:eastAsia="Times New Roman" w:hAnsi="Times New Roman" w:cs="Times New Roman"/>
            <w:color w:val="0E10A1"/>
            <w:kern w:val="0"/>
            <w:u w:val="single"/>
            <w:shd w:val="clear" w:color="auto" w:fill="FBFB68"/>
            <w:lang w:eastAsia="it-IT"/>
            <w14:ligatures w14:val="none"/>
          </w:rPr>
          <w:t>sentenza Micheletti</w:t>
        </w:r>
      </w:hyperlink>
      <w:r w:rsidRPr="0018306D">
        <w:rPr>
          <w:rFonts w:ascii="Times New Roman" w:eastAsia="Times New Roman" w:hAnsi="Times New Roman" w:cs="Times New Roman"/>
          <w:color w:val="000000"/>
          <w:kern w:val="0"/>
          <w:lang w:eastAsia="it-IT"/>
          <w14:ligatures w14:val="none"/>
        </w:rPr>
        <w:t>, punto 10).</w:t>
      </w:r>
    </w:p>
    <w:p w14:paraId="765D5F7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In una prima fase, è così pervenuta a censurare discipline statali che determinavano la perdita dello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nei confronti di uno Stato membro e, di riflesso, nei confronti dell’Unione europea. In particolare, ha reputato che le norme sulla cittadinanza contenute nei Trattati fossero ostative a simili discipline, ove queste non consentissero, «in nessun momento, un esame individuale delle conseguenze determinate da tale perdita, per gli interessati, sotto il profilo del diritto dell’Unione» (Corte di giustizia, </w:t>
      </w:r>
      <w:hyperlink r:id="rId26" w:history="1">
        <w:r w:rsidRPr="0018306D">
          <w:rPr>
            <w:rFonts w:ascii="Times New Roman" w:eastAsia="Times New Roman" w:hAnsi="Times New Roman" w:cs="Times New Roman"/>
            <w:color w:val="0E10A1"/>
            <w:kern w:val="0"/>
            <w:u w:val="single"/>
            <w:shd w:val="clear" w:color="auto" w:fill="FBFB68"/>
            <w:lang w:eastAsia="it-IT"/>
            <w14:ligatures w14:val="none"/>
          </w:rPr>
          <w:t xml:space="preserve">grande sezione, sentenza, 17 marzo 2019, causa C-221/17, </w:t>
        </w:r>
        <w:proofErr w:type="spellStart"/>
        <w:r w:rsidRPr="0018306D">
          <w:rPr>
            <w:rFonts w:ascii="Times New Roman" w:eastAsia="Times New Roman" w:hAnsi="Times New Roman" w:cs="Times New Roman"/>
            <w:color w:val="0E10A1"/>
            <w:kern w:val="0"/>
            <w:u w:val="single"/>
            <w:shd w:val="clear" w:color="auto" w:fill="FBFB68"/>
            <w:lang w:eastAsia="it-IT"/>
            <w14:ligatures w14:val="none"/>
          </w:rPr>
          <w:t>Tjebbes</w:t>
        </w:r>
        <w:proofErr w:type="spellEnd"/>
        <w:r w:rsidRPr="0018306D">
          <w:rPr>
            <w:rFonts w:ascii="Times New Roman" w:eastAsia="Times New Roman" w:hAnsi="Times New Roman" w:cs="Times New Roman"/>
            <w:color w:val="0E10A1"/>
            <w:kern w:val="0"/>
            <w:u w:val="single"/>
            <w:shd w:val="clear" w:color="auto" w:fill="FBFB68"/>
            <w:lang w:eastAsia="it-IT"/>
            <w14:ligatures w14:val="none"/>
          </w:rPr>
          <w:t xml:space="preserve"> e altri</w:t>
        </w:r>
      </w:hyperlink>
      <w:r w:rsidRPr="0018306D">
        <w:rPr>
          <w:rFonts w:ascii="Times New Roman" w:eastAsia="Times New Roman" w:hAnsi="Times New Roman" w:cs="Times New Roman"/>
          <w:color w:val="000000"/>
          <w:kern w:val="0"/>
          <w:lang w:eastAsia="it-IT"/>
          <w14:ligatures w14:val="none"/>
        </w:rPr>
        <w:t>; in senso conforme, sentenza </w:t>
      </w:r>
      <w:proofErr w:type="spellStart"/>
      <w:r w:rsidRPr="0018306D">
        <w:rPr>
          <w:rFonts w:ascii="Times New Roman" w:eastAsia="Times New Roman" w:hAnsi="Times New Roman" w:cs="Times New Roman"/>
          <w:color w:val="000000"/>
          <w:kern w:val="0"/>
          <w:lang w:eastAsia="it-IT"/>
          <w14:ligatures w14:val="none"/>
        </w:rPr>
        <w:fldChar w:fldCharType="begin"/>
      </w:r>
      <w:r w:rsidRPr="0018306D">
        <w:rPr>
          <w:rFonts w:ascii="Times New Roman" w:eastAsia="Times New Roman" w:hAnsi="Times New Roman" w:cs="Times New Roman"/>
          <w:color w:val="000000"/>
          <w:kern w:val="0"/>
          <w:lang w:eastAsia="it-IT"/>
          <w14:ligatures w14:val="none"/>
        </w:rPr>
        <w:instrText>HYPERLINK "https://eur-lex.europa.eu/legal-content/IT/TXT/HTML/?uri=CELEX:62020CJ0118_RES&amp;qid=1753970267893"</w:instrText>
      </w:r>
      <w:r w:rsidRPr="0018306D">
        <w:rPr>
          <w:rFonts w:ascii="Times New Roman" w:eastAsia="Times New Roman" w:hAnsi="Times New Roman" w:cs="Times New Roman"/>
          <w:color w:val="000000"/>
          <w:kern w:val="0"/>
          <w:lang w:eastAsia="it-IT"/>
          <w14:ligatures w14:val="none"/>
        </w:rPr>
      </w:r>
      <w:r w:rsidRPr="0018306D">
        <w:rPr>
          <w:rFonts w:ascii="Times New Roman" w:eastAsia="Times New Roman" w:hAnsi="Times New Roman" w:cs="Times New Roman"/>
          <w:color w:val="000000"/>
          <w:kern w:val="0"/>
          <w:lang w:eastAsia="it-IT"/>
          <w14:ligatures w14:val="none"/>
        </w:rPr>
        <w:fldChar w:fldCharType="separate"/>
      </w:r>
      <w:r w:rsidRPr="0018306D">
        <w:rPr>
          <w:rFonts w:ascii="Times New Roman" w:eastAsia="Times New Roman" w:hAnsi="Times New Roman" w:cs="Times New Roman"/>
          <w:color w:val="0E10A1"/>
          <w:kern w:val="0"/>
          <w:u w:val="single"/>
          <w:shd w:val="clear" w:color="auto" w:fill="FBFB68"/>
          <w:lang w:eastAsia="it-IT"/>
          <w14:ligatures w14:val="none"/>
        </w:rPr>
        <w:t>Udlændinge</w:t>
      </w:r>
      <w:proofErr w:type="spellEnd"/>
      <w:r w:rsidRPr="0018306D">
        <w:rPr>
          <w:rFonts w:ascii="Times New Roman" w:eastAsia="Times New Roman" w:hAnsi="Times New Roman" w:cs="Times New Roman"/>
          <w:color w:val="0E10A1"/>
          <w:kern w:val="0"/>
          <w:u w:val="single"/>
          <w:shd w:val="clear" w:color="auto" w:fill="FBFB68"/>
          <w:lang w:eastAsia="it-IT"/>
          <w14:ligatures w14:val="none"/>
        </w:rPr>
        <w:t xml:space="preserve">- </w:t>
      </w:r>
      <w:proofErr w:type="spellStart"/>
      <w:r w:rsidRPr="0018306D">
        <w:rPr>
          <w:rFonts w:ascii="Times New Roman" w:eastAsia="Times New Roman" w:hAnsi="Times New Roman" w:cs="Times New Roman"/>
          <w:color w:val="0E10A1"/>
          <w:kern w:val="0"/>
          <w:u w:val="single"/>
          <w:shd w:val="clear" w:color="auto" w:fill="FBFB68"/>
          <w:lang w:eastAsia="it-IT"/>
          <w14:ligatures w14:val="none"/>
        </w:rPr>
        <w:t>og</w:t>
      </w:r>
      <w:proofErr w:type="spellEnd"/>
      <w:r w:rsidRPr="0018306D">
        <w:rPr>
          <w:rFonts w:ascii="Times New Roman" w:eastAsia="Times New Roman" w:hAnsi="Times New Roman" w:cs="Times New Roman"/>
          <w:color w:val="0E10A1"/>
          <w:kern w:val="0"/>
          <w:u w:val="single"/>
          <w:shd w:val="clear" w:color="auto" w:fill="FBFB68"/>
          <w:lang w:eastAsia="it-IT"/>
          <w14:ligatures w14:val="none"/>
        </w:rPr>
        <w:t xml:space="preserve"> </w:t>
      </w:r>
      <w:proofErr w:type="spellStart"/>
      <w:r w:rsidRPr="0018306D">
        <w:rPr>
          <w:rFonts w:ascii="Times New Roman" w:eastAsia="Times New Roman" w:hAnsi="Times New Roman" w:cs="Times New Roman"/>
          <w:color w:val="0E10A1"/>
          <w:kern w:val="0"/>
          <w:u w:val="single"/>
          <w:shd w:val="clear" w:color="auto" w:fill="FBFB68"/>
          <w:lang w:eastAsia="it-IT"/>
          <w14:ligatures w14:val="none"/>
        </w:rPr>
        <w:t>Integrationsministeriet</w:t>
      </w:r>
      <w:proofErr w:type="spellEnd"/>
      <w:r w:rsidRPr="0018306D">
        <w:rPr>
          <w:rFonts w:ascii="Times New Roman" w:eastAsia="Times New Roman" w:hAnsi="Times New Roman" w:cs="Times New Roman"/>
          <w:color w:val="000000"/>
          <w:kern w:val="0"/>
          <w:lang w:eastAsia="it-IT"/>
          <w14:ligatures w14:val="none"/>
        </w:rPr>
        <w:fldChar w:fldCharType="end"/>
      </w:r>
      <w:r w:rsidRPr="0018306D">
        <w:rPr>
          <w:rFonts w:ascii="Times New Roman" w:eastAsia="Times New Roman" w:hAnsi="Times New Roman" w:cs="Times New Roman"/>
          <w:color w:val="000000"/>
          <w:kern w:val="0"/>
          <w:lang w:eastAsia="it-IT"/>
          <w14:ligatures w14:val="none"/>
        </w:rPr>
        <w:t xml:space="preserve">, nonché, con riguardo a casi in cui si </w:t>
      </w:r>
      <w:r w:rsidRPr="0018306D">
        <w:rPr>
          <w:rFonts w:ascii="Times New Roman" w:eastAsia="Times New Roman" w:hAnsi="Times New Roman" w:cs="Times New Roman"/>
          <w:color w:val="000000"/>
          <w:kern w:val="0"/>
          <w:lang w:eastAsia="it-IT"/>
          <w14:ligatures w14:val="none"/>
        </w:rPr>
        <w:lastRenderedPageBreak/>
        <w:t>determinava la condizione di apolidia dell’interessato, le citate </w:t>
      </w:r>
      <w:hyperlink r:id="rId27" w:history="1">
        <w:r w:rsidRPr="0018306D">
          <w:rPr>
            <w:rFonts w:ascii="Times New Roman" w:eastAsia="Times New Roman" w:hAnsi="Times New Roman" w:cs="Times New Roman"/>
            <w:color w:val="0E10A1"/>
            <w:kern w:val="0"/>
            <w:u w:val="single"/>
            <w:shd w:val="clear" w:color="auto" w:fill="FBFB68"/>
            <w:lang w:eastAsia="it-IT"/>
            <w14:ligatures w14:val="none"/>
          </w:rPr>
          <w:t>sentenze JY</w:t>
        </w:r>
      </w:hyperlink>
      <w:r w:rsidRPr="0018306D">
        <w:rPr>
          <w:rFonts w:ascii="Times New Roman" w:eastAsia="Times New Roman" w:hAnsi="Times New Roman" w:cs="Times New Roman"/>
          <w:color w:val="000000"/>
          <w:kern w:val="0"/>
          <w:lang w:eastAsia="it-IT"/>
          <w14:ligatures w14:val="none"/>
        </w:rPr>
        <w:t>, punti 58, 59 e 73, e </w:t>
      </w:r>
      <w:proofErr w:type="spellStart"/>
      <w:r w:rsidRPr="0018306D">
        <w:rPr>
          <w:rFonts w:ascii="Times New Roman" w:eastAsia="Times New Roman" w:hAnsi="Times New Roman" w:cs="Times New Roman"/>
          <w:color w:val="000000"/>
          <w:kern w:val="0"/>
          <w:lang w:eastAsia="it-IT"/>
          <w14:ligatures w14:val="none"/>
        </w:rPr>
        <w:fldChar w:fldCharType="begin"/>
      </w:r>
      <w:r w:rsidRPr="0018306D">
        <w:rPr>
          <w:rFonts w:ascii="Times New Roman" w:eastAsia="Times New Roman" w:hAnsi="Times New Roman" w:cs="Times New Roman"/>
          <w:color w:val="000000"/>
          <w:kern w:val="0"/>
          <w:lang w:eastAsia="it-IT"/>
          <w14:ligatures w14:val="none"/>
        </w:rPr>
        <w:instrText>HYPERLINK "https://eur-lex.europa.eu/legal-content/IT/TXT/HTML/?uri=CELEX:62008CJ0135&amp;qid=1753972220577"</w:instrText>
      </w:r>
      <w:r w:rsidRPr="0018306D">
        <w:rPr>
          <w:rFonts w:ascii="Times New Roman" w:eastAsia="Times New Roman" w:hAnsi="Times New Roman" w:cs="Times New Roman"/>
          <w:color w:val="000000"/>
          <w:kern w:val="0"/>
          <w:lang w:eastAsia="it-IT"/>
          <w14:ligatures w14:val="none"/>
        </w:rPr>
      </w:r>
      <w:r w:rsidRPr="0018306D">
        <w:rPr>
          <w:rFonts w:ascii="Times New Roman" w:eastAsia="Times New Roman" w:hAnsi="Times New Roman" w:cs="Times New Roman"/>
          <w:color w:val="000000"/>
          <w:kern w:val="0"/>
          <w:lang w:eastAsia="it-IT"/>
          <w14:ligatures w14:val="none"/>
        </w:rPr>
        <w:fldChar w:fldCharType="separate"/>
      </w:r>
      <w:r w:rsidRPr="0018306D">
        <w:rPr>
          <w:rFonts w:ascii="Times New Roman" w:eastAsia="Times New Roman" w:hAnsi="Times New Roman" w:cs="Times New Roman"/>
          <w:color w:val="0E10A1"/>
          <w:kern w:val="0"/>
          <w:u w:val="single"/>
          <w:shd w:val="clear" w:color="auto" w:fill="FBFB68"/>
          <w:lang w:eastAsia="it-IT"/>
          <w14:ligatures w14:val="none"/>
        </w:rPr>
        <w:t>Rottmann</w:t>
      </w:r>
      <w:proofErr w:type="spellEnd"/>
      <w:r w:rsidRPr="0018306D">
        <w:rPr>
          <w:rFonts w:ascii="Times New Roman" w:eastAsia="Times New Roman" w:hAnsi="Times New Roman" w:cs="Times New Roman"/>
          <w:color w:val="000000"/>
          <w:kern w:val="0"/>
          <w:lang w:eastAsia="it-IT"/>
          <w14:ligatures w14:val="none"/>
        </w:rPr>
        <w:fldChar w:fldCharType="end"/>
      </w:r>
      <w:r w:rsidRPr="0018306D">
        <w:rPr>
          <w:rFonts w:ascii="Times New Roman" w:eastAsia="Times New Roman" w:hAnsi="Times New Roman" w:cs="Times New Roman"/>
          <w:color w:val="000000"/>
          <w:kern w:val="0"/>
          <w:lang w:eastAsia="it-IT"/>
          <w14:ligatures w14:val="none"/>
        </w:rPr>
        <w:t>, punto 55).</w:t>
      </w:r>
    </w:p>
    <w:p w14:paraId="77233CC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In una seconda fase, recentissima, la Corte di giustizia ha esteso il proprio sindacato anche alle norme attributive della cittadinanza, rilevando che «l’esercizio della competenza degli Stati membri in materia di definizione dei requisiti per la concessione della cittadinanza di uno Stato membro non è, alla stregua della loro competenza in materia di definizione delle condizioni di perdita della cittadinanza, illimitato» (la già citata </w:t>
      </w:r>
      <w:hyperlink r:id="rId28" w:history="1">
        <w:r w:rsidRPr="0018306D">
          <w:rPr>
            <w:rFonts w:ascii="Times New Roman" w:eastAsia="Times New Roman" w:hAnsi="Times New Roman" w:cs="Times New Roman"/>
            <w:color w:val="0E10A1"/>
            <w:kern w:val="0"/>
            <w:u w:val="single"/>
            <w:shd w:val="clear" w:color="auto" w:fill="FBFB68"/>
            <w:lang w:eastAsia="it-IT"/>
            <w14:ligatures w14:val="none"/>
          </w:rPr>
          <w:t>sentenza Commissione europea contro Repubblica di Malta</w:t>
        </w:r>
      </w:hyperlink>
      <w:r w:rsidRPr="0018306D">
        <w:rPr>
          <w:rFonts w:ascii="Times New Roman" w:eastAsia="Times New Roman" w:hAnsi="Times New Roman" w:cs="Times New Roman"/>
          <w:color w:val="000000"/>
          <w:kern w:val="0"/>
          <w:lang w:eastAsia="it-IT"/>
          <w14:ligatures w14:val="none"/>
        </w:rPr>
        <w:t>, punto 95).</w:t>
      </w:r>
    </w:p>
    <w:p w14:paraId="1DDE95B3"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In tale prospettiva, ha evidenziato che la cittadinanza europea si fonda «sui valori comuni contenuti nell’articolo 2 TUE e sulla fiducia reciproca che gli Stati membri si accordano quanto al fatto che nessuno di essi eserciti tale competenza in un modo che sia manifestamente incompatibile con la natura stessa della cittadinanza dell’Unione» (</w:t>
      </w:r>
      <w:hyperlink r:id="rId29" w:history="1">
        <w:r w:rsidRPr="0018306D">
          <w:rPr>
            <w:rFonts w:ascii="Times New Roman" w:eastAsia="Times New Roman" w:hAnsi="Times New Roman" w:cs="Times New Roman"/>
            <w:color w:val="0E10A1"/>
            <w:kern w:val="0"/>
            <w:u w:val="single"/>
            <w:shd w:val="clear" w:color="auto" w:fill="FBFB68"/>
            <w:lang w:eastAsia="it-IT"/>
            <w14:ligatures w14:val="none"/>
          </w:rPr>
          <w:t>sentenza Commissione europea contro Repubblica di Malta</w:t>
        </w:r>
      </w:hyperlink>
      <w:r w:rsidRPr="0018306D">
        <w:rPr>
          <w:rFonts w:ascii="Times New Roman" w:eastAsia="Times New Roman" w:hAnsi="Times New Roman" w:cs="Times New Roman"/>
          <w:color w:val="000000"/>
          <w:kern w:val="0"/>
          <w:lang w:eastAsia="it-IT"/>
          <w14:ligatures w14:val="none"/>
        </w:rPr>
        <w:t>, punto 95).</w:t>
      </w:r>
    </w:p>
    <w:p w14:paraId="7F21C8E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La Corte di giustizia ha poi aggiunto che i Trattati dell’Unione europea identificano il contenuto della cittadinanza europea: nella garanzia ai cittadini e ai loro familiari della libera circolazione, della libera prestazione dei servizi e della libertà di stabilimento interne; nella facoltà di godere dei diritti politici e nel diritto alla tutela delle autorità diplomatiche e consolari degli altri Stati membri, alle stesse condizioni dei cittadini di questi ultimi (ancora, </w:t>
      </w:r>
      <w:hyperlink r:id="rId30" w:history="1">
        <w:r w:rsidRPr="0018306D">
          <w:rPr>
            <w:rFonts w:ascii="Times New Roman" w:eastAsia="Times New Roman" w:hAnsi="Times New Roman" w:cs="Times New Roman"/>
            <w:color w:val="0E10A1"/>
            <w:kern w:val="0"/>
            <w:u w:val="single"/>
            <w:shd w:val="clear" w:color="auto" w:fill="FBFB68"/>
            <w:lang w:eastAsia="it-IT"/>
            <w14:ligatures w14:val="none"/>
          </w:rPr>
          <w:t>sentenza Commissione europea contro Repubblica di Malta</w:t>
        </w:r>
      </w:hyperlink>
      <w:r w:rsidRPr="0018306D">
        <w:rPr>
          <w:rFonts w:ascii="Times New Roman" w:eastAsia="Times New Roman" w:hAnsi="Times New Roman" w:cs="Times New Roman"/>
          <w:color w:val="000000"/>
          <w:kern w:val="0"/>
          <w:lang w:eastAsia="it-IT"/>
          <w14:ligatures w14:val="none"/>
        </w:rPr>
        <w:t>, punti 84-90).</w:t>
      </w:r>
    </w:p>
    <w:p w14:paraId="4E25D7D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Sulla base di tali premesse, la Corte di giustizia ha ritenuto che le norme statali in materia di cittadinanza non debbano essere esercitate «in un modo [da essere] manifestamente </w:t>
      </w:r>
      <w:proofErr w:type="spellStart"/>
      <w:r w:rsidRPr="0018306D">
        <w:rPr>
          <w:rFonts w:ascii="Times New Roman" w:eastAsia="Times New Roman" w:hAnsi="Times New Roman" w:cs="Times New Roman"/>
          <w:color w:val="000000"/>
          <w:kern w:val="0"/>
          <w:lang w:eastAsia="it-IT"/>
          <w14:ligatures w14:val="none"/>
        </w:rPr>
        <w:t>incompatibil</w:t>
      </w:r>
      <w:proofErr w:type="spellEnd"/>
      <w:r w:rsidRPr="0018306D">
        <w:rPr>
          <w:rFonts w:ascii="Times New Roman" w:eastAsia="Times New Roman" w:hAnsi="Times New Roman" w:cs="Times New Roman"/>
          <w:color w:val="000000"/>
          <w:kern w:val="0"/>
          <w:lang w:eastAsia="it-IT"/>
          <w14:ligatures w14:val="none"/>
        </w:rPr>
        <w:t>[i] con la natura stessa della cittadinanza dell’Unione» (ancora, </w:t>
      </w:r>
      <w:hyperlink r:id="rId31" w:history="1">
        <w:r w:rsidRPr="0018306D">
          <w:rPr>
            <w:rFonts w:ascii="Times New Roman" w:eastAsia="Times New Roman" w:hAnsi="Times New Roman" w:cs="Times New Roman"/>
            <w:color w:val="0E10A1"/>
            <w:kern w:val="0"/>
            <w:u w:val="single"/>
            <w:shd w:val="clear" w:color="auto" w:fill="FBFB68"/>
            <w:lang w:eastAsia="it-IT"/>
            <w14:ligatures w14:val="none"/>
          </w:rPr>
          <w:t>sentenza Commissione europea contro Repubblica di Malta</w:t>
        </w:r>
      </w:hyperlink>
      <w:r w:rsidRPr="0018306D">
        <w:rPr>
          <w:rFonts w:ascii="Times New Roman" w:eastAsia="Times New Roman" w:hAnsi="Times New Roman" w:cs="Times New Roman"/>
          <w:color w:val="000000"/>
          <w:kern w:val="0"/>
          <w:lang w:eastAsia="it-IT"/>
          <w14:ligatures w14:val="none"/>
        </w:rPr>
        <w:t xml:space="preserve">, punto 95). In tal senso, </w:t>
      </w:r>
      <w:r w:rsidRPr="0018306D">
        <w:rPr>
          <w:rFonts w:ascii="Times New Roman" w:eastAsia="Times New Roman" w:hAnsi="Times New Roman" w:cs="Times New Roman"/>
          <w:color w:val="EE0000"/>
          <w:kern w:val="0"/>
          <w:lang w:eastAsia="it-IT"/>
          <w14:ligatures w14:val="none"/>
        </w:rPr>
        <w:t>è stato ritenuto in contrasto con il diritto dell’Unione «un programma di naturalizzazione» che concedeva la cittadinanza a seguito di pagamenti o investimenti effettuati nello Stato membro, in quanto «assimilabile a una commercializzazione della concessione dello status di cittadino di uno Stato membro e, per estensione, di quella dello status di cittadino dell’Unione</w:t>
      </w:r>
      <w:r w:rsidRPr="0018306D">
        <w:rPr>
          <w:rFonts w:ascii="Times New Roman" w:eastAsia="Times New Roman" w:hAnsi="Times New Roman" w:cs="Times New Roman"/>
          <w:color w:val="000000"/>
          <w:kern w:val="0"/>
          <w:lang w:eastAsia="it-IT"/>
          <w14:ligatures w14:val="none"/>
        </w:rPr>
        <w:t>» (sempre </w:t>
      </w:r>
      <w:hyperlink r:id="rId32" w:history="1">
        <w:r w:rsidRPr="0018306D">
          <w:rPr>
            <w:rFonts w:ascii="Times New Roman" w:eastAsia="Times New Roman" w:hAnsi="Times New Roman" w:cs="Times New Roman"/>
            <w:color w:val="0E10A1"/>
            <w:kern w:val="0"/>
            <w:u w:val="single"/>
            <w:shd w:val="clear" w:color="auto" w:fill="FBFB68"/>
            <w:lang w:eastAsia="it-IT"/>
            <w14:ligatures w14:val="none"/>
          </w:rPr>
          <w:t>sentenza Commissione europea contro Repubblica di Malta</w:t>
        </w:r>
      </w:hyperlink>
      <w:r w:rsidRPr="0018306D">
        <w:rPr>
          <w:rFonts w:ascii="Times New Roman" w:eastAsia="Times New Roman" w:hAnsi="Times New Roman" w:cs="Times New Roman"/>
          <w:color w:val="000000"/>
          <w:kern w:val="0"/>
          <w:lang w:eastAsia="it-IT"/>
          <w14:ligatures w14:val="none"/>
        </w:rPr>
        <w:t>, punto 100).</w:t>
      </w:r>
    </w:p>
    <w:p w14:paraId="1CD6C96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11.4.– Alla luce delle pregresse considerazioni non è, dunque, fondata l’eccezione sollevata dalle parti, in quanto vòlta a escludere, in radice, in ragione della discrezionalità del legislatore, l’ammissibilità di una censura che contesti l’estraneità di una disciplina sulla cittadinanza rispetto sia ai principi costituzionali sia alle norme del TUE e del TFUE, come interpretate dalla Corte di giustizia UE.</w:t>
      </w:r>
    </w:p>
    <w:p w14:paraId="76F9038D"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12.– Tuttavia, occorre, di seguito, rilevare che i rimettenti, nel sollevare le questioni in riferimento agli artt. 1, primo comma, e 3 Cost., sotto il profilo della irragionevolezza e non proporzionalità, nonché in riferimento all’art. 117, primo comma, Cost., in relazione all’art. 9 TUE e all’art. 20 TFUE, non contestano che il vincolo di filiazione, quale presupposto acquisitivo della cittadinanza, sia in quanto tale privo di corrispondenza con i tratti identificativi dello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nel testo costituzionale, così come nelle fonti dell’Unione europea. </w:t>
      </w:r>
      <w:r w:rsidRPr="0018306D">
        <w:rPr>
          <w:rFonts w:ascii="Times New Roman" w:eastAsia="Times New Roman" w:hAnsi="Times New Roman" w:cs="Times New Roman"/>
          <w:color w:val="EE0000"/>
          <w:kern w:val="0"/>
          <w:lang w:eastAsia="it-IT"/>
          <w14:ligatures w14:val="none"/>
        </w:rPr>
        <w:t xml:space="preserve">Le censure non pongono in discussione l’idea secondo cui, in generale, l’appartenenza a una comunità familiare, che è parte della comunità statale, possa implicare l’appartenenza anche a quest’ultima; criterio sul quale, del resto, si fonda lo status </w:t>
      </w:r>
      <w:proofErr w:type="spellStart"/>
      <w:r w:rsidRPr="0018306D">
        <w:rPr>
          <w:rFonts w:ascii="Times New Roman" w:eastAsia="Times New Roman" w:hAnsi="Times New Roman" w:cs="Times New Roman"/>
          <w:color w:val="EE0000"/>
          <w:kern w:val="0"/>
          <w:lang w:eastAsia="it-IT"/>
          <w14:ligatures w14:val="none"/>
        </w:rPr>
        <w:t>civitatis</w:t>
      </w:r>
      <w:proofErr w:type="spellEnd"/>
      <w:r w:rsidRPr="0018306D">
        <w:rPr>
          <w:rFonts w:ascii="Times New Roman" w:eastAsia="Times New Roman" w:hAnsi="Times New Roman" w:cs="Times New Roman"/>
          <w:color w:val="EE0000"/>
          <w:kern w:val="0"/>
          <w:lang w:eastAsia="it-IT"/>
          <w14:ligatures w14:val="none"/>
        </w:rPr>
        <w:t xml:space="preserve"> della maggior parte dei cittadini italiani</w:t>
      </w:r>
      <w:r w:rsidRPr="0018306D">
        <w:rPr>
          <w:rFonts w:ascii="Times New Roman" w:eastAsia="Times New Roman" w:hAnsi="Times New Roman" w:cs="Times New Roman"/>
          <w:color w:val="000000"/>
          <w:kern w:val="0"/>
          <w:lang w:eastAsia="it-IT"/>
          <w14:ligatures w14:val="none"/>
        </w:rPr>
        <w:t>.</w:t>
      </w:r>
    </w:p>
    <w:p w14:paraId="4A0A2C9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Viceversa, </w:t>
      </w:r>
      <w:r w:rsidRPr="0018306D">
        <w:rPr>
          <w:rFonts w:ascii="Times New Roman" w:eastAsia="Times New Roman" w:hAnsi="Times New Roman" w:cs="Times New Roman"/>
          <w:color w:val="EE0000"/>
          <w:kern w:val="0"/>
          <w:lang w:eastAsia="it-IT"/>
          <w14:ligatures w14:val="none"/>
        </w:rPr>
        <w:t xml:space="preserve">ciò di cui dubitano i giudici a </w:t>
      </w:r>
      <w:proofErr w:type="spellStart"/>
      <w:r w:rsidRPr="0018306D">
        <w:rPr>
          <w:rFonts w:ascii="Times New Roman" w:eastAsia="Times New Roman" w:hAnsi="Times New Roman" w:cs="Times New Roman"/>
          <w:color w:val="EE0000"/>
          <w:kern w:val="0"/>
          <w:lang w:eastAsia="it-IT"/>
          <w14:ligatures w14:val="none"/>
        </w:rPr>
        <w:t>quibus</w:t>
      </w:r>
      <w:proofErr w:type="spellEnd"/>
      <w:r w:rsidRPr="0018306D">
        <w:rPr>
          <w:rFonts w:ascii="Times New Roman" w:eastAsia="Times New Roman" w:hAnsi="Times New Roman" w:cs="Times New Roman"/>
          <w:color w:val="EE0000"/>
          <w:kern w:val="0"/>
          <w:lang w:eastAsia="it-IT"/>
          <w14:ligatures w14:val="none"/>
        </w:rPr>
        <w:t xml:space="preserve"> è che, in presenza di elementi di collegamento fra il richiedente l’accertamento della cittadinanza italiana e ordinamenti giuridici stranieri e in assenza di elementi di collegamento con l’ordinamento giuridico italiano in aggiunta allo ius sanguinis, il vincolo di filiazione possa risultare sufficiente alla funzione che è chiamato a svolgere quale fondamento della cittadinanza, in quanto la stessa comunità familiare, al verificarsi dei richiamati </w:t>
      </w:r>
      <w:r w:rsidRPr="0018306D">
        <w:rPr>
          <w:rFonts w:ascii="Times New Roman" w:eastAsia="Times New Roman" w:hAnsi="Times New Roman" w:cs="Times New Roman"/>
          <w:color w:val="EE0000"/>
          <w:kern w:val="0"/>
          <w:lang w:eastAsia="it-IT"/>
          <w14:ligatures w14:val="none"/>
        </w:rPr>
        <w:lastRenderedPageBreak/>
        <w:t>presupposti positivi e negativi, non sarebbe più in grado di trasmettere una appartenenza alla comunità statale</w:t>
      </w:r>
      <w:r w:rsidRPr="0018306D">
        <w:rPr>
          <w:rFonts w:ascii="Times New Roman" w:eastAsia="Times New Roman" w:hAnsi="Times New Roman" w:cs="Times New Roman"/>
          <w:color w:val="000000"/>
          <w:kern w:val="0"/>
          <w:lang w:eastAsia="it-IT"/>
          <w14:ligatures w14:val="none"/>
        </w:rPr>
        <w:t>.</w:t>
      </w:r>
    </w:p>
    <w:p w14:paraId="035D53C8"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12.1.– Ebbene, proprio rispetto a questo tipo di censura, le parti sollevano ulteriori, specifiche eccezioni di inammissibilità.</w:t>
      </w:r>
    </w:p>
    <w:p w14:paraId="2E63D89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Anzitutto, </w:t>
      </w:r>
      <w:r w:rsidRPr="0018306D">
        <w:rPr>
          <w:rFonts w:ascii="Times New Roman" w:eastAsia="Times New Roman" w:hAnsi="Times New Roman" w:cs="Times New Roman"/>
          <w:color w:val="EE0000"/>
          <w:kern w:val="0"/>
          <w:lang w:eastAsia="it-IT"/>
          <w14:ligatures w14:val="none"/>
        </w:rPr>
        <w:t>obiettano che questa Corte non possa con un intervento manipolativo di sistema sostituirsi al legislatore nel decidere una pluralità di presupposti</w:t>
      </w:r>
      <w:r w:rsidRPr="0018306D">
        <w:rPr>
          <w:rFonts w:ascii="Times New Roman" w:eastAsia="Times New Roman" w:hAnsi="Times New Roman" w:cs="Times New Roman"/>
          <w:color w:val="000000"/>
          <w:kern w:val="0"/>
          <w:lang w:eastAsia="it-IT"/>
          <w14:ligatures w14:val="none"/>
        </w:rPr>
        <w:t>. Per un verso, dovrebbe stabilire gli elementi di collegamento con ordinamenti giuridici stranieri, in presenza dei quali si indebolirebbe irrimediabilmente la funzione propria dello ius sanguinis. Per un altro verso, dovrebbe indicare, in maniera combinata e sistematicamente correlata, i criteri di collegamento con l’ordinamento giuridico italiano in mancanza dei quali il vincolo di filiazione non potrebbe più svolgere la funzione sua propria di far acquisire la cittadinanza.</w:t>
      </w:r>
    </w:p>
    <w:p w14:paraId="47796795"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Simile eccezione fa corpo con quella che contesta il carattere generico delle censure, là dove alcuni rimettenti prospettano plurime soluzioni alternative, mentre altri neppure indicano in che modo dovrebbe sanarsi il ritenuto vulnus. A ciò si aggiunga che la genericità delle censure sarebbe tale da non farsi neppure carico – secondo le parti costituite in giudizio con l’atto depositato il 16 maggio 2024 – della diversità di situazioni sulle quali andrebbe a ricadere l’auspicato intervento di questa Corte.</w:t>
      </w:r>
    </w:p>
    <w:p w14:paraId="17879E97"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Infine, alle richiamate eccezioni si collega quella che contesta l’irrilevanza delle censure, là dove i giudici a </w:t>
      </w:r>
      <w:proofErr w:type="spellStart"/>
      <w:r w:rsidRPr="0018306D">
        <w:rPr>
          <w:rFonts w:ascii="Times New Roman" w:eastAsia="Times New Roman" w:hAnsi="Times New Roman" w:cs="Times New Roman"/>
          <w:color w:val="000000"/>
          <w:kern w:val="0"/>
          <w:lang w:eastAsia="it-IT"/>
          <w14:ligatures w14:val="none"/>
        </w:rPr>
        <w:t>quibus</w:t>
      </w:r>
      <w:proofErr w:type="spellEnd"/>
      <w:r w:rsidRPr="0018306D">
        <w:rPr>
          <w:rFonts w:ascii="Times New Roman" w:eastAsia="Times New Roman" w:hAnsi="Times New Roman" w:cs="Times New Roman"/>
          <w:color w:val="000000"/>
          <w:kern w:val="0"/>
          <w:lang w:eastAsia="it-IT"/>
          <w14:ligatures w14:val="none"/>
        </w:rPr>
        <w:t xml:space="preserve"> avrebbero dato per assunto, senza fornire alcuna dimostrazione o possibilità di prova contraria, che i rimettenti non abbiano quegli altri legami con l’ordinamento italiano, che consentirebbero di evitare il vulnus.</w:t>
      </w:r>
    </w:p>
    <w:p w14:paraId="48DBCA11"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12.2.– </w:t>
      </w:r>
      <w:r w:rsidRPr="0018306D">
        <w:rPr>
          <w:rFonts w:ascii="Times New Roman" w:eastAsia="Times New Roman" w:hAnsi="Times New Roman" w:cs="Times New Roman"/>
          <w:color w:val="EE0000"/>
          <w:kern w:val="0"/>
          <w:lang w:eastAsia="it-IT"/>
          <w14:ligatures w14:val="none"/>
        </w:rPr>
        <w:t>Le eccezioni sono fondate</w:t>
      </w:r>
      <w:r w:rsidRPr="0018306D">
        <w:rPr>
          <w:rFonts w:ascii="Times New Roman" w:eastAsia="Times New Roman" w:hAnsi="Times New Roman" w:cs="Times New Roman"/>
          <w:color w:val="000000"/>
          <w:kern w:val="0"/>
          <w:lang w:eastAsia="it-IT"/>
          <w14:ligatures w14:val="none"/>
        </w:rPr>
        <w:t>.</w:t>
      </w:r>
    </w:p>
    <w:p w14:paraId="32E3C565"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12.2.1.– Anche solo identificare profili di correlazione con l’ordinamento giuridico straniero, in presenza dei quali la funzione attributiva dello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propria dello status </w:t>
      </w:r>
      <w:proofErr w:type="spellStart"/>
      <w:r w:rsidRPr="0018306D">
        <w:rPr>
          <w:rFonts w:ascii="Times New Roman" w:eastAsia="Times New Roman" w:hAnsi="Times New Roman" w:cs="Times New Roman"/>
          <w:color w:val="000000"/>
          <w:kern w:val="0"/>
          <w:lang w:eastAsia="it-IT"/>
          <w14:ligatures w14:val="none"/>
        </w:rPr>
        <w:t>filiationis</w:t>
      </w:r>
      <w:proofErr w:type="spellEnd"/>
      <w:r w:rsidRPr="0018306D">
        <w:rPr>
          <w:rFonts w:ascii="Times New Roman" w:eastAsia="Times New Roman" w:hAnsi="Times New Roman" w:cs="Times New Roman"/>
          <w:color w:val="000000"/>
          <w:kern w:val="0"/>
          <w:lang w:eastAsia="it-IT"/>
          <w14:ligatures w14:val="none"/>
        </w:rPr>
        <w:t xml:space="preserve"> risulterebbe indebolita, implica la necessità di effettuare scelte discrezionali fra una molteplicità di possibili opzioni.</w:t>
      </w:r>
    </w:p>
    <w:p w14:paraId="671877A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Non a caso, le ordinanze di rimessione si limitano genericamente a descrivere la situazione in cui si trovano i ricorrenti nei giudizi principali, che sono nati all’estero, sono cittadini di un altro Stato e sono ivi residenti.</w:t>
      </w:r>
    </w:p>
    <w:p w14:paraId="30B311D8"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Questa Corte dovrebbe allora decidere se dare rilievo alla nascita all’estero e se essa debba concorrere con entrambi gli altri presupposti o con uno solo di essi; dovrebbe poi valutare se considerare la residenza all’estero dell’ascendente o del discendente o di entrambi, e in quale momento; infine, dovrebbe ponderare il senso del riferimento alla doppia cittadinanza, che varia a seconda che riguardi il discendente o anche l’ascendente.</w:t>
      </w:r>
    </w:p>
    <w:p w14:paraId="60C04C94"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A ciò si aggiunga che intervenire su ciascuno di tali elementi comporta, non solo valutazioni discrezionali, ma anche rilevanti implicazioni di sistema.</w:t>
      </w:r>
    </w:p>
    <w:p w14:paraId="4C46C40C"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12.2.2.– I caratteri propri di un intervento manipolativo e di sistema, qual è quello prospettato dai giudici a </w:t>
      </w:r>
      <w:proofErr w:type="spellStart"/>
      <w:r w:rsidRPr="0018306D">
        <w:rPr>
          <w:rFonts w:ascii="Times New Roman" w:eastAsia="Times New Roman" w:hAnsi="Times New Roman" w:cs="Times New Roman"/>
          <w:color w:val="000000"/>
          <w:kern w:val="0"/>
          <w:lang w:eastAsia="it-IT"/>
          <w14:ligatures w14:val="none"/>
        </w:rPr>
        <w:t>quibus</w:t>
      </w:r>
      <w:proofErr w:type="spellEnd"/>
      <w:r w:rsidRPr="0018306D">
        <w:rPr>
          <w:rFonts w:ascii="Times New Roman" w:eastAsia="Times New Roman" w:hAnsi="Times New Roman" w:cs="Times New Roman"/>
          <w:color w:val="000000"/>
          <w:kern w:val="0"/>
          <w:lang w:eastAsia="it-IT"/>
          <w14:ligatures w14:val="none"/>
        </w:rPr>
        <w:t>, emergono poi con ulteriore evidenza, ove si consideri che questa Corte sarebbe chiamata a decidere, fra i tanti tratti identificativi della cittadinanza, quello o quelli idonei a dare sufficiente dimostrazione della circostanza che, nonostante la presenza di elementi di collegamento con l’ordinamento giuridico straniero, l’appartenenza al nucleo familiare continui a svolgere la sua funzione giustificativa di una appartenenza anche alla comunità statale.</w:t>
      </w:r>
    </w:p>
    <w:p w14:paraId="51DBEAF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Questa Corte dovrebbe allora sostituirsi al legislatore nel valutare se valorizzare il legame culturale e linguistico con la comunità statale, tenendo conto della condizione dei cittadini residenti all’estero, o, viceversa, prediligere un collegamento con il territorio.</w:t>
      </w:r>
    </w:p>
    <w:p w14:paraId="7CD28B3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lastRenderedPageBreak/>
        <w:t xml:space="preserve">Non a caso, le stesse prospettazioni dei giudici a </w:t>
      </w:r>
      <w:proofErr w:type="spellStart"/>
      <w:r w:rsidRPr="0018306D">
        <w:rPr>
          <w:rFonts w:ascii="Times New Roman" w:eastAsia="Times New Roman" w:hAnsi="Times New Roman" w:cs="Times New Roman"/>
          <w:color w:val="000000"/>
          <w:kern w:val="0"/>
          <w:lang w:eastAsia="it-IT"/>
          <w14:ligatures w14:val="none"/>
        </w:rPr>
        <w:t>quibus</w:t>
      </w:r>
      <w:proofErr w:type="spellEnd"/>
      <w:r w:rsidRPr="0018306D">
        <w:rPr>
          <w:rFonts w:ascii="Times New Roman" w:eastAsia="Times New Roman" w:hAnsi="Times New Roman" w:cs="Times New Roman"/>
          <w:color w:val="000000"/>
          <w:kern w:val="0"/>
          <w:lang w:eastAsia="it-IT"/>
          <w14:ligatures w14:val="none"/>
        </w:rPr>
        <w:t xml:space="preserve"> spaziano fra plurime e diverse soluzioni.</w:t>
      </w:r>
    </w:p>
    <w:p w14:paraId="34342D6D"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La genericità e il carattere manipolativo delle censure emergono vieppiù, ove si consideri che i rimettenti neppure si confrontano con la notevole varietà di ipotesi sulle quali l’intervento prospettato dai rimettenti andrebbe potenzialmente a incidere: su coloro che hanno già richiesto l’accertamento della cittadinanza; su coloro che non lo hanno ancora richiesto, ma vantano lo status </w:t>
      </w:r>
      <w:proofErr w:type="spellStart"/>
      <w:r w:rsidRPr="0018306D">
        <w:rPr>
          <w:rFonts w:ascii="Times New Roman" w:eastAsia="Times New Roman" w:hAnsi="Times New Roman" w:cs="Times New Roman"/>
          <w:color w:val="000000"/>
          <w:kern w:val="0"/>
          <w:lang w:eastAsia="it-IT"/>
          <w14:ligatures w14:val="none"/>
        </w:rPr>
        <w:t>filiationis</w:t>
      </w:r>
      <w:proofErr w:type="spellEnd"/>
      <w:r w:rsidRPr="0018306D">
        <w:rPr>
          <w:rFonts w:ascii="Times New Roman" w:eastAsia="Times New Roman" w:hAnsi="Times New Roman" w:cs="Times New Roman"/>
          <w:color w:val="000000"/>
          <w:kern w:val="0"/>
          <w:lang w:eastAsia="it-IT"/>
          <w14:ligatures w14:val="none"/>
        </w:rPr>
        <w:t>; su coloro che acquisiranno tale status.</w:t>
      </w:r>
    </w:p>
    <w:p w14:paraId="50BF8417"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EE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12.3.– In definitiva, </w:t>
      </w:r>
      <w:r w:rsidRPr="0018306D">
        <w:rPr>
          <w:rFonts w:ascii="Times New Roman" w:eastAsia="Times New Roman" w:hAnsi="Times New Roman" w:cs="Times New Roman"/>
          <w:color w:val="EE0000"/>
          <w:kern w:val="0"/>
          <w:lang w:eastAsia="it-IT"/>
          <w14:ligatures w14:val="none"/>
        </w:rPr>
        <w:t>quello che si richiede a questa Corte è un intervento manipolativo oltremodo complesso che potrebbe attingere a un ventaglio quanto mai ampio di opzioni, rispetto alle quali si impongono scelte intrise di discrezionalità e che hanno incisive ricadute a livello di sistema.</w:t>
      </w:r>
    </w:p>
    <w:p w14:paraId="5E3B49DC"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Per le ragioni esposte, le questioni di legittimità costituzionale sollevate in riferimento agli artt. 1, secondo comma, 3 e 117, primo comma, Cost., quest’ultimo in relazione all’art. 9 TUE e all’art. 20 TFUE, sono </w:t>
      </w:r>
      <w:r w:rsidRPr="0018306D">
        <w:rPr>
          <w:rFonts w:ascii="Times New Roman" w:eastAsia="Times New Roman" w:hAnsi="Times New Roman" w:cs="Times New Roman"/>
          <w:color w:val="EE0000"/>
          <w:kern w:val="0"/>
          <w:lang w:eastAsia="it-IT"/>
          <w14:ligatures w14:val="none"/>
        </w:rPr>
        <w:t>inammissibili</w:t>
      </w:r>
      <w:r w:rsidRPr="0018306D">
        <w:rPr>
          <w:rFonts w:ascii="Times New Roman" w:eastAsia="Times New Roman" w:hAnsi="Times New Roman" w:cs="Times New Roman"/>
          <w:color w:val="000000"/>
          <w:kern w:val="0"/>
          <w:lang w:eastAsia="it-IT"/>
          <w14:ligatures w14:val="none"/>
        </w:rPr>
        <w:t>.</w:t>
      </w:r>
    </w:p>
    <w:p w14:paraId="238D5F28"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13.– Parimenti inammissibile, per mancata individuazione della norma internazionale interposta al parametro, è la questione di legittimità costituzionale che lamenta la violazione dell’art. 117, primo comma, Cost., in relazione agli obblighi internazionali.</w:t>
      </w:r>
    </w:p>
    <w:p w14:paraId="01883A08"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 rimettenti non specificano quale sia la fonte del diritto internazionale lesa, dalla quale discenderebbe il mancato rispetto di obblighi internazionali.</w:t>
      </w:r>
    </w:p>
    <w:p w14:paraId="6226F6B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Non sono evocate convenzioni internazionali, che direttamente o indirettamente riguardino la cittadinanza. Non è richiamata la fonte della consuetudine internazionale, che peraltro avrebbe dovuto suggerire una censura anche con riguardo all’art. 10 Cost. Non vi sono, infine, riferimenti ai principi generali di diritto riconosciuti dalle nazioni civili, che sono fonti del diritto internazionale ai sensi dell’art. 38 dello statuto della Corte internazionale di giustizia.</w:t>
      </w:r>
    </w:p>
    <w:p w14:paraId="0BD45C2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Per converso, i giudici a </w:t>
      </w:r>
      <w:proofErr w:type="spellStart"/>
      <w:r w:rsidRPr="0018306D">
        <w:rPr>
          <w:rFonts w:ascii="Times New Roman" w:eastAsia="Times New Roman" w:hAnsi="Times New Roman" w:cs="Times New Roman"/>
          <w:color w:val="000000"/>
          <w:kern w:val="0"/>
          <w:lang w:eastAsia="it-IT"/>
          <w14:ligatures w14:val="none"/>
        </w:rPr>
        <w:t>quibus</w:t>
      </w:r>
      <w:proofErr w:type="spellEnd"/>
      <w:r w:rsidRPr="0018306D">
        <w:rPr>
          <w:rFonts w:ascii="Times New Roman" w:eastAsia="Times New Roman" w:hAnsi="Times New Roman" w:cs="Times New Roman"/>
          <w:color w:val="000000"/>
          <w:kern w:val="0"/>
          <w:lang w:eastAsia="it-IT"/>
          <w14:ligatures w14:val="none"/>
        </w:rPr>
        <w:t xml:space="preserve"> si limitano a richiamare il caso Liechtenstein contro Guatemala (CIG, sentenza 6 aprile 1955), sovrapponendo, indebitamente, il piano dei criteri attributivi della cittadinanza con quello, nient’affatto equivalente, che attiene alla possibilità di far valere la cittadinanza nelle relazioni internazionali (solo a tali fini la citata pronuncia e la più recente CIG, sentenza 4 febbraio 2021, Qatar contro Emirati Arabi Uniti, presuppongono l’esistenza di un vincolo effettivo e di un legame genuino con l’ordinamento statuale).</w:t>
      </w:r>
    </w:p>
    <w:p w14:paraId="6CDEDDB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Anche la censura sollevata in riferimento all’art. 117, primo comma, Cost., relativamente agli obblighi internazionali è, pertanto, inammissibile.</w:t>
      </w:r>
    </w:p>
    <w:p w14:paraId="3CEB8D44"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14.– </w:t>
      </w:r>
      <w:r w:rsidRPr="0018306D">
        <w:rPr>
          <w:rFonts w:ascii="Times New Roman" w:eastAsia="Times New Roman" w:hAnsi="Times New Roman" w:cs="Times New Roman"/>
          <w:color w:val="EE0000"/>
          <w:kern w:val="0"/>
          <w:lang w:eastAsia="it-IT"/>
          <w14:ligatures w14:val="none"/>
        </w:rPr>
        <w:t>Sono, viceversa, ammissibili le questioni sollevate rispettivamente dal Tribunale di Roma e da quello di Milano, in riferimento all’art. 3 Cost., sotto il profilo della irragionevole disparità di trattamento</w:t>
      </w:r>
      <w:r w:rsidRPr="0018306D">
        <w:rPr>
          <w:rFonts w:ascii="Times New Roman" w:eastAsia="Times New Roman" w:hAnsi="Times New Roman" w:cs="Times New Roman"/>
          <w:color w:val="000000"/>
          <w:kern w:val="0"/>
          <w:lang w:eastAsia="it-IT"/>
          <w14:ligatures w14:val="none"/>
        </w:rPr>
        <w:t>.</w:t>
      </w:r>
    </w:p>
    <w:p w14:paraId="33974BEF"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EE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I giudici a </w:t>
      </w:r>
      <w:proofErr w:type="spellStart"/>
      <w:r w:rsidRPr="0018306D">
        <w:rPr>
          <w:rFonts w:ascii="Times New Roman" w:eastAsia="Times New Roman" w:hAnsi="Times New Roman" w:cs="Times New Roman"/>
          <w:color w:val="000000"/>
          <w:kern w:val="0"/>
          <w:lang w:eastAsia="it-IT"/>
          <w14:ligatures w14:val="none"/>
        </w:rPr>
        <w:t>quibus</w:t>
      </w:r>
      <w:proofErr w:type="spellEnd"/>
      <w:r w:rsidRPr="0018306D">
        <w:rPr>
          <w:rFonts w:ascii="Times New Roman" w:eastAsia="Times New Roman" w:hAnsi="Times New Roman" w:cs="Times New Roman"/>
          <w:color w:val="000000"/>
          <w:kern w:val="0"/>
          <w:lang w:eastAsia="it-IT"/>
          <w14:ligatures w14:val="none"/>
        </w:rPr>
        <w:t xml:space="preserve">, infatti, pur avendo operato taluni confronti generici fra la norma censurata, nella sua applicabilità alla situazione in cui si trovano i rimettenti, e varie discipline attributive della cittadinanza, </w:t>
      </w:r>
      <w:r w:rsidRPr="0018306D">
        <w:rPr>
          <w:rFonts w:ascii="Times New Roman" w:eastAsia="Times New Roman" w:hAnsi="Times New Roman" w:cs="Times New Roman"/>
          <w:color w:val="EE0000"/>
          <w:kern w:val="0"/>
          <w:lang w:eastAsia="it-IT"/>
          <w14:ligatures w14:val="none"/>
        </w:rPr>
        <w:t xml:space="preserve">hanno poi identificato, con sufficiente determinatezza, due precisi </w:t>
      </w:r>
      <w:proofErr w:type="spellStart"/>
      <w:r w:rsidRPr="0018306D">
        <w:rPr>
          <w:rFonts w:ascii="Times New Roman" w:eastAsia="Times New Roman" w:hAnsi="Times New Roman" w:cs="Times New Roman"/>
          <w:color w:val="EE0000"/>
          <w:kern w:val="0"/>
          <w:lang w:eastAsia="it-IT"/>
          <w14:ligatures w14:val="none"/>
        </w:rPr>
        <w:t>tertia</w:t>
      </w:r>
      <w:proofErr w:type="spellEnd"/>
      <w:r w:rsidRPr="0018306D">
        <w:rPr>
          <w:rFonts w:ascii="Times New Roman" w:eastAsia="Times New Roman" w:hAnsi="Times New Roman" w:cs="Times New Roman"/>
          <w:color w:val="EE0000"/>
          <w:kern w:val="0"/>
          <w:lang w:eastAsia="it-IT"/>
          <w14:ligatures w14:val="none"/>
        </w:rPr>
        <w:t xml:space="preserve"> </w:t>
      </w:r>
      <w:proofErr w:type="spellStart"/>
      <w:r w:rsidRPr="0018306D">
        <w:rPr>
          <w:rFonts w:ascii="Times New Roman" w:eastAsia="Times New Roman" w:hAnsi="Times New Roman" w:cs="Times New Roman"/>
          <w:color w:val="EE0000"/>
          <w:kern w:val="0"/>
          <w:lang w:eastAsia="it-IT"/>
          <w14:ligatures w14:val="none"/>
        </w:rPr>
        <w:t>comparationis</w:t>
      </w:r>
      <w:proofErr w:type="spellEnd"/>
      <w:r w:rsidRPr="0018306D">
        <w:rPr>
          <w:rFonts w:ascii="Times New Roman" w:eastAsia="Times New Roman" w:hAnsi="Times New Roman" w:cs="Times New Roman"/>
          <w:color w:val="EE0000"/>
          <w:kern w:val="0"/>
          <w:lang w:eastAsia="it-IT"/>
          <w14:ligatures w14:val="none"/>
        </w:rPr>
        <w:t>.</w:t>
      </w:r>
    </w:p>
    <w:p w14:paraId="4E48EEAF"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14.1.– In particolare, il rimettente capitolino ritiene che l’art. 1, comma 1, lettera a), della legge n. 91 del 1992, in quanto applicabile a persone nate, residenti all’estero e con la cittadinanza del Paese straniero, comporterebbe una irragionevole disparità di trattamento rispetto all’art. 4, comma 1, della medesima legge, che, fra le varie norme con cui pone a raffronto quella oggetto dell’odierno giudizio, ritiene la «più appropriatamente confrontabile». In ambo i casi – secondo il giudice a quo – verrebbe, infatti, in considerazione una cittadinanza acquisita ipso iure sulla base della ricognizione dei requisiti occorrenti, che, dunque, si configurerebbe alla stregua di un diritto soggettivo e non di un interesse legittimo.</w:t>
      </w:r>
    </w:p>
    <w:p w14:paraId="5EF987C3"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lastRenderedPageBreak/>
        <w:t xml:space="preserve">14.2.– Il Tribunale di Milano, a sua volta, dopo aver messo a confronto la norma censurata con varie previsioni attributive della cittadinanza, identifica, quale </w:t>
      </w:r>
      <w:proofErr w:type="spellStart"/>
      <w:r w:rsidRPr="0018306D">
        <w:rPr>
          <w:rFonts w:ascii="Times New Roman" w:eastAsia="Times New Roman" w:hAnsi="Times New Roman" w:cs="Times New Roman"/>
          <w:color w:val="000000"/>
          <w:kern w:val="0"/>
          <w:lang w:eastAsia="it-IT"/>
          <w14:ligatures w14:val="none"/>
        </w:rPr>
        <w:t>tertium</w:t>
      </w:r>
      <w:proofErr w:type="spellEnd"/>
      <w:r w:rsidRPr="0018306D">
        <w:rPr>
          <w:rFonts w:ascii="Times New Roman" w:eastAsia="Times New Roman" w:hAnsi="Times New Roman" w:cs="Times New Roman"/>
          <w:color w:val="000000"/>
          <w:kern w:val="0"/>
          <w:lang w:eastAsia="it-IT"/>
          <w14:ligatures w14:val="none"/>
        </w:rPr>
        <w:t xml:space="preserve"> </w:t>
      </w:r>
      <w:proofErr w:type="spellStart"/>
      <w:r w:rsidRPr="0018306D">
        <w:rPr>
          <w:rFonts w:ascii="Times New Roman" w:eastAsia="Times New Roman" w:hAnsi="Times New Roman" w:cs="Times New Roman"/>
          <w:color w:val="000000"/>
          <w:kern w:val="0"/>
          <w:lang w:eastAsia="it-IT"/>
          <w14:ligatures w14:val="none"/>
        </w:rPr>
        <w:t>comparationis</w:t>
      </w:r>
      <w:proofErr w:type="spellEnd"/>
      <w:r w:rsidRPr="0018306D">
        <w:rPr>
          <w:rFonts w:ascii="Times New Roman" w:eastAsia="Times New Roman" w:hAnsi="Times New Roman" w:cs="Times New Roman"/>
          <w:color w:val="000000"/>
          <w:kern w:val="0"/>
          <w:lang w:eastAsia="it-IT"/>
          <w14:ligatures w14:val="none"/>
        </w:rPr>
        <w:t>, la disciplina che regola l’acquisizione della cittadinanza in capo al coniuge, richiedendo la dimostrazione di un livello intermedio di conoscenza della lingua italiana o, in alternativa, la sottoscrizione di un accordo di integrazione.</w:t>
      </w:r>
    </w:p>
    <w:p w14:paraId="25DA3C07"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15.– </w:t>
      </w:r>
      <w:r w:rsidRPr="0018306D">
        <w:rPr>
          <w:rFonts w:ascii="Times New Roman" w:eastAsia="Times New Roman" w:hAnsi="Times New Roman" w:cs="Times New Roman"/>
          <w:color w:val="EE0000"/>
          <w:kern w:val="0"/>
          <w:lang w:eastAsia="it-IT"/>
          <w14:ligatures w14:val="none"/>
        </w:rPr>
        <w:t>Nel merito, le questioni non sono fondate</w:t>
      </w:r>
      <w:r w:rsidRPr="0018306D">
        <w:rPr>
          <w:rFonts w:ascii="Times New Roman" w:eastAsia="Times New Roman" w:hAnsi="Times New Roman" w:cs="Times New Roman"/>
          <w:color w:val="000000"/>
          <w:kern w:val="0"/>
          <w:lang w:eastAsia="it-IT"/>
          <w14:ligatures w14:val="none"/>
        </w:rPr>
        <w:t>.</w:t>
      </w:r>
    </w:p>
    <w:p w14:paraId="403D9982"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Una censura di irragionevole disparità di trattamento impone a questa Corte, anzitutto, di verificare, alla luce della ratio della disciplina, l’omogeneità fra le situazioni posto a confronto. Secondo un costante orientamento della giurisprudenza costituzionale, si è, infatti, in presenza di una violazione dell’art. 3 Cost. «qualora situazioni sostanzialmente identiche siano disciplinate in modo ingiustificatamente diverso e non quando alla diversità di disciplina corrispondano situazioni non assimilabili» (ex </w:t>
      </w:r>
      <w:proofErr w:type="spellStart"/>
      <w:r w:rsidRPr="0018306D">
        <w:rPr>
          <w:rFonts w:ascii="Times New Roman" w:eastAsia="Times New Roman" w:hAnsi="Times New Roman" w:cs="Times New Roman"/>
          <w:color w:val="000000"/>
          <w:kern w:val="0"/>
          <w:lang w:eastAsia="it-IT"/>
          <w14:ligatures w14:val="none"/>
        </w:rPr>
        <w:t>plurimis</w:t>
      </w:r>
      <w:proofErr w:type="spellEnd"/>
      <w:r w:rsidRPr="0018306D">
        <w:rPr>
          <w:rFonts w:ascii="Times New Roman" w:eastAsia="Times New Roman" w:hAnsi="Times New Roman" w:cs="Times New Roman"/>
          <w:color w:val="000000"/>
          <w:kern w:val="0"/>
          <w:lang w:eastAsia="it-IT"/>
          <w14:ligatures w14:val="none"/>
        </w:rPr>
        <w:t>, sentenze </w:t>
      </w:r>
      <w:hyperlink r:id="rId33" w:history="1">
        <w:r w:rsidRPr="0018306D">
          <w:rPr>
            <w:rFonts w:ascii="Times New Roman" w:eastAsia="Times New Roman" w:hAnsi="Times New Roman" w:cs="Times New Roman"/>
            <w:color w:val="0E10A1"/>
            <w:kern w:val="0"/>
            <w:u w:val="single"/>
            <w:shd w:val="clear" w:color="auto" w:fill="FBFB68"/>
            <w:lang w:eastAsia="it-IT"/>
            <w14:ligatures w14:val="none"/>
          </w:rPr>
          <w:t>n. 171 del 2022</w:t>
        </w:r>
      </w:hyperlink>
      <w:r w:rsidRPr="0018306D">
        <w:rPr>
          <w:rFonts w:ascii="Times New Roman" w:eastAsia="Times New Roman" w:hAnsi="Times New Roman" w:cs="Times New Roman"/>
          <w:color w:val="000000"/>
          <w:kern w:val="0"/>
          <w:lang w:eastAsia="it-IT"/>
          <w14:ligatures w14:val="none"/>
        </w:rPr>
        <w:t>, </w:t>
      </w:r>
      <w:hyperlink r:id="rId34" w:history="1">
        <w:r w:rsidRPr="0018306D">
          <w:rPr>
            <w:rFonts w:ascii="Times New Roman" w:eastAsia="Times New Roman" w:hAnsi="Times New Roman" w:cs="Times New Roman"/>
            <w:color w:val="0E10A1"/>
            <w:kern w:val="0"/>
            <w:u w:val="single"/>
            <w:shd w:val="clear" w:color="auto" w:fill="FBFB68"/>
            <w:lang w:eastAsia="it-IT"/>
            <w14:ligatures w14:val="none"/>
          </w:rPr>
          <w:t>n. 71 del 2021</w:t>
        </w:r>
      </w:hyperlink>
      <w:r w:rsidRPr="0018306D">
        <w:rPr>
          <w:rFonts w:ascii="Times New Roman" w:eastAsia="Times New Roman" w:hAnsi="Times New Roman" w:cs="Times New Roman"/>
          <w:color w:val="000000"/>
          <w:kern w:val="0"/>
          <w:lang w:eastAsia="it-IT"/>
          <w14:ligatures w14:val="none"/>
        </w:rPr>
        <w:t>, </w:t>
      </w:r>
      <w:hyperlink r:id="rId35" w:history="1">
        <w:r w:rsidRPr="0018306D">
          <w:rPr>
            <w:rFonts w:ascii="Times New Roman" w:eastAsia="Times New Roman" w:hAnsi="Times New Roman" w:cs="Times New Roman"/>
            <w:color w:val="0E10A1"/>
            <w:kern w:val="0"/>
            <w:u w:val="single"/>
            <w:shd w:val="clear" w:color="auto" w:fill="FBFB68"/>
            <w:lang w:eastAsia="it-IT"/>
            <w14:ligatures w14:val="none"/>
          </w:rPr>
          <w:t>n. 85 del 2020</w:t>
        </w:r>
      </w:hyperlink>
      <w:r w:rsidRPr="0018306D">
        <w:rPr>
          <w:rFonts w:ascii="Times New Roman" w:eastAsia="Times New Roman" w:hAnsi="Times New Roman" w:cs="Times New Roman"/>
          <w:color w:val="000000"/>
          <w:kern w:val="0"/>
          <w:lang w:eastAsia="it-IT"/>
          <w14:ligatures w14:val="none"/>
        </w:rPr>
        <w:t>, </w:t>
      </w:r>
      <w:hyperlink r:id="rId36" w:history="1">
        <w:r w:rsidRPr="0018306D">
          <w:rPr>
            <w:rFonts w:ascii="Times New Roman" w:eastAsia="Times New Roman" w:hAnsi="Times New Roman" w:cs="Times New Roman"/>
            <w:color w:val="0E10A1"/>
            <w:kern w:val="0"/>
            <w:u w:val="single"/>
            <w:shd w:val="clear" w:color="auto" w:fill="FBFB68"/>
            <w:lang w:eastAsia="it-IT"/>
            <w14:ligatures w14:val="none"/>
          </w:rPr>
          <w:t>n. 13 del 2018</w:t>
        </w:r>
      </w:hyperlink>
      <w:r w:rsidRPr="0018306D">
        <w:rPr>
          <w:rFonts w:ascii="Times New Roman" w:eastAsia="Times New Roman" w:hAnsi="Times New Roman" w:cs="Times New Roman"/>
          <w:color w:val="000000"/>
          <w:kern w:val="0"/>
          <w:lang w:eastAsia="it-IT"/>
          <w14:ligatures w14:val="none"/>
        </w:rPr>
        <w:t> e </w:t>
      </w:r>
      <w:hyperlink r:id="rId37" w:history="1">
        <w:r w:rsidRPr="0018306D">
          <w:rPr>
            <w:rFonts w:ascii="Times New Roman" w:eastAsia="Times New Roman" w:hAnsi="Times New Roman" w:cs="Times New Roman"/>
            <w:color w:val="0E10A1"/>
            <w:kern w:val="0"/>
            <w:u w:val="single"/>
            <w:shd w:val="clear" w:color="auto" w:fill="FBFB68"/>
            <w:lang w:eastAsia="it-IT"/>
            <w14:ligatures w14:val="none"/>
          </w:rPr>
          <w:t>n. 71 del 2015</w:t>
        </w:r>
      </w:hyperlink>
      <w:r w:rsidRPr="0018306D">
        <w:rPr>
          <w:rFonts w:ascii="Times New Roman" w:eastAsia="Times New Roman" w:hAnsi="Times New Roman" w:cs="Times New Roman"/>
          <w:color w:val="000000"/>
          <w:kern w:val="0"/>
          <w:lang w:eastAsia="it-IT"/>
          <w14:ligatures w14:val="none"/>
        </w:rPr>
        <w:t>).</w:t>
      </w:r>
    </w:p>
    <w:p w14:paraId="1636D63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15.1.– Tale sostanziale identità di situazioni difetta anzitutto nella censura mossa dal Tribunale di Roma.</w:t>
      </w:r>
    </w:p>
    <w:p w14:paraId="50C4A21E"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xml:space="preserve">L’art. 4, comma 1, della legge n. 91 del 1992 disciplina ipotesi di acquisto dello status </w:t>
      </w:r>
      <w:proofErr w:type="spellStart"/>
      <w:r w:rsidRPr="0018306D">
        <w:rPr>
          <w:rFonts w:ascii="Times New Roman" w:eastAsia="Times New Roman" w:hAnsi="Times New Roman" w:cs="Times New Roman"/>
          <w:color w:val="000000"/>
          <w:kern w:val="0"/>
          <w:lang w:eastAsia="it-IT"/>
          <w14:ligatures w14:val="none"/>
        </w:rPr>
        <w:t>civitatis</w:t>
      </w:r>
      <w:proofErr w:type="spellEnd"/>
      <w:r w:rsidRPr="0018306D">
        <w:rPr>
          <w:rFonts w:ascii="Times New Roman" w:eastAsia="Times New Roman" w:hAnsi="Times New Roman" w:cs="Times New Roman"/>
          <w:color w:val="000000"/>
          <w:kern w:val="0"/>
          <w:lang w:eastAsia="it-IT"/>
          <w14:ligatures w14:val="none"/>
        </w:rPr>
        <w:t xml:space="preserve"> da parte di stranieri che siano figli di persone che hanno perso la cittadinanza italiana. La norma censurata regola, invece, l’acquisto iure sanguinis della cittadinanza da parte di discendenti di persone che sono cittadini o cittadine italiani.</w:t>
      </w:r>
    </w:p>
    <w:p w14:paraId="228C4433"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È, quindi, assorbente il rilievo concernente la mancanza di omogeneità fra le situazioni messe a confronto.</w:t>
      </w:r>
    </w:p>
    <w:p w14:paraId="7A211032"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15.2.– Il presupposto dell’omogeneità fra le situazioni poste a raffronto è parimenti carente con riguardo alla censura sollevata dal Tribunale di Milano.</w:t>
      </w:r>
    </w:p>
    <w:p w14:paraId="61774CC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L’acquisto della cittadinanza per matrimonio con un cittadino o una cittadina italiani si fonda su un tipo di vincolo – quello costituito, per l’appunto, dal matrimonio – che non è sovrapponibile, neppure in considerazione della ratio legis della disciplina, con il vincolo di filiazione.</w:t>
      </w:r>
    </w:p>
    <w:p w14:paraId="38C9E089"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Anche tale censura non è, pertanto, fondata.</w:t>
      </w:r>
    </w:p>
    <w:p w14:paraId="33B7CAF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16.– In conclusione, sono inammissibili le censure mosse dal Tribunale di Milano rispetto all’art. 4 del codice civile del 1865 e rispetto all’art. 1 della legge n. 555 del 1912.</w:t>
      </w:r>
    </w:p>
    <w:p w14:paraId="2CF29F2E"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Parimenti, sono inammissibili le questioni di legittimità costituzionale dell’art. 1, comma 1, lettera a), della legge n. 91 del 1992, sollevate in riferimento agli artt. 1, secondo comma, e 3 Cost., sotto il profilo della irragionevolezza e non proporzionalità, nonché in riferimento all’art. 117, primo comma, Cost., in relazione agli obblighi internazionali e ai vincoli derivanti dall’appartenenza dell’Italia all’Unione europea, questi ultimi con riguardo all’art. 9 TUE e all’art. 20 TFUE.</w:t>
      </w:r>
    </w:p>
    <w:p w14:paraId="72D170B0"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Infine, sono non fondate le questioni di legittimità costituzionale della medesima norma sollevate in riferimento all’art. 3 Cost., sotto il profilo della irragionevole disparità di trattamento.</w:t>
      </w:r>
    </w:p>
    <w:p w14:paraId="67DD0CFE" w14:textId="77777777" w:rsidR="0018306D" w:rsidRPr="0018306D" w:rsidRDefault="0018306D" w:rsidP="0018306D">
      <w:pPr>
        <w:shd w:val="clear" w:color="auto" w:fill="FFFFFF"/>
        <w:spacing w:after="150"/>
        <w:ind w:firstLine="300"/>
        <w:jc w:val="center"/>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per questi motivi</w:t>
      </w:r>
    </w:p>
    <w:p w14:paraId="26484C42" w14:textId="77777777" w:rsidR="0018306D" w:rsidRPr="0018306D" w:rsidRDefault="0018306D" w:rsidP="0018306D">
      <w:pPr>
        <w:shd w:val="clear" w:color="auto" w:fill="FFFFFF"/>
        <w:spacing w:after="150"/>
        <w:ind w:firstLine="300"/>
        <w:jc w:val="center"/>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LA CORTE COSTITUZIONALE</w:t>
      </w:r>
    </w:p>
    <w:p w14:paraId="3EA24D9A"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riuniti i giudizi,</w:t>
      </w:r>
    </w:p>
    <w:p w14:paraId="7387EDAD"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1) dichiara inammissibili gli interventi di AUCI – Avvocati uniti per la cittadinanza italiana e di AGIS – Associazione giuristi iure sanguinis, spiegati nel giudizio relativo all’ordinanza iscritta al n. 247 del registro ordinanze 2024;</w:t>
      </w:r>
    </w:p>
    <w:p w14:paraId="40B5F2CB"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lastRenderedPageBreak/>
        <w:t>2) dichiara inammissibili le questioni di legittimità costituzionale dell’art. 4 del codice civile del 1865, approvato con regio decreto 25 giugno 1865, n. 2358, e dell’art. 1 della legge 13 giugno 1912, n. 555 (Sulla cittadinanza italiana), sollevate dal Tribunale ordinario di Milano, sezione dodicesima specializzata in materia di immigrazione, protezione internazionale e libera circolazione dei cittadini dell’Unione europea, in riferimento agli artt. 1, secondo comma, e 3 della Costituzione, quest’ultimo sotto il duplice profilo sia della irragionevolezza e non proporzionalità sia della irragionevole disparità di trattamento, nonché in riferimento all’art. 117, primo comma, Cost., relativamente agli obblighi internazionali e ai vincoli derivanti dall’appartenenza dell’Italia all’Unione europea, questi ultimi con riguardo all’art. 9 del Trattato sull’Unione europea e all’art. 20 del Trattato sul funzionamento dell’Unione europea, con l’ordinanza indicata in epigrafe;</w:t>
      </w:r>
    </w:p>
    <w:p w14:paraId="1F3033A2"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3) dichiara inammissibili le questioni di legittimità costituzionale dell’art. 1, comma 1, lettera a), della legge 5 febbraio 1992, n. 91 (Nuove norme sulla cittadinanza), sollevate dal Tribunale ordinario di Bologna, sezione specializzata in materia di immigrazione, protezione internazionale e libera circolazione cittadini UE, dal Tribunale ordinario di Milano, sezione dodicesima specializzata in materia di immigrazione, protezione internazionale e libera circolazione dei cittadini dell’Unione europea, dal Tribunale ordinario di Roma, sezione diritti della persona e immigrazione, e dal Tribunale ordinario di Firenze, sezione specializzata in materia di immigrazione, protezione internazionale e libera circolazione dei cittadini UE, in riferimento agli artt. 1, secondo comma, e 3 Cost., quest’ultimo sotto il profilo della irragionevolezza e non proporzionalità, con le ordinanze indicate in epigrafe; nonché le questioni sollevate dal Tribunale ordinario di Bologna, sezione specializzata in materia di immigrazione, protezione internazionale e libera circolazione cittadini UE, dal Tribunale ordinario di Milano, sezione dodicesima specializzata in materia di immigrazione, protezione internazionale e libera circolazione dei cittadini dell’Unione europea, e dal Tribunale ordinario di Firenze, sezione specializzata in materia di immigrazione, protezione internazionale e libera circolazione dei cittadini UE, in riferimento all’art. 117, primo comma, Cost., in relazione agli obblighi internazionali e ai vincoli derivanti dall’appartenenza dell’Italia all’Unione europea, questi ultimi con riguardo all’art. 9 TUE e all’art. 20 TFUE, con le ordinanze indicate in epigrafe;</w:t>
      </w:r>
    </w:p>
    <w:p w14:paraId="1739982F"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4) dichiara non fondate le questioni di legittimità costituzionale dell’art. 1, comma 1, lettera a), della legge n. 91 del 1992, sollevate, in riferimento all’art. 3 Cost., sotto il profilo della irragionevole disparità di trattamento, dal Tribunale ordinario di Roma, sezione diritti della persona e immigrazione, e dal Tribunale ordinario di Milano, sezione dodicesima specializzata in materia di immigrazione, protezione internazionale e libera circolazione dei cittadini dell’Unione europea, con le ordinanze indicate in epigrafe.</w:t>
      </w:r>
    </w:p>
    <w:p w14:paraId="178FFDBF"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Così deciso in Roma, nella sede della Corte costituzionale, Palazzo della Consulta, il 24 giugno 2025.</w:t>
      </w:r>
    </w:p>
    <w:p w14:paraId="0A06447C"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F.to:</w:t>
      </w:r>
    </w:p>
    <w:p w14:paraId="2D7DF016"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Giovanni AMOROSO, Presidente</w:t>
      </w:r>
    </w:p>
    <w:p w14:paraId="537047D2"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Emanuela NAVARRETTA, Redattrice</w:t>
      </w:r>
    </w:p>
    <w:p w14:paraId="1580163D"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Roberto MILANA, Direttore della Cancelleria</w:t>
      </w:r>
    </w:p>
    <w:p w14:paraId="6DE1D88E"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Depositata in Cancelleria il 31 luglio 2025</w:t>
      </w:r>
    </w:p>
    <w:p w14:paraId="0C3DBAD9" w14:textId="77777777" w:rsidR="0018306D" w:rsidRPr="0018306D" w:rsidRDefault="0018306D" w:rsidP="0018306D">
      <w:pPr>
        <w:shd w:val="clear" w:color="auto" w:fill="FFFFFF"/>
        <w:spacing w:after="150"/>
        <w:ind w:firstLine="300"/>
        <w:jc w:val="both"/>
        <w:rPr>
          <w:rFonts w:ascii="Times New Roman" w:eastAsia="Times New Roman" w:hAnsi="Times New Roman" w:cs="Times New Roman"/>
          <w:color w:val="000000"/>
          <w:kern w:val="0"/>
          <w:lang w:eastAsia="it-IT"/>
          <w14:ligatures w14:val="none"/>
        </w:rPr>
      </w:pPr>
      <w:r w:rsidRPr="0018306D">
        <w:rPr>
          <w:rFonts w:ascii="Times New Roman" w:eastAsia="Times New Roman" w:hAnsi="Times New Roman" w:cs="Times New Roman"/>
          <w:color w:val="000000"/>
          <w:kern w:val="0"/>
          <w:lang w:eastAsia="it-IT"/>
          <w14:ligatures w14:val="none"/>
        </w:rPr>
        <w:t> </w:t>
      </w:r>
    </w:p>
    <w:p w14:paraId="3735C2AA" w14:textId="77777777" w:rsidR="0018306D" w:rsidRPr="0018306D" w:rsidRDefault="0018306D" w:rsidP="0018306D">
      <w:pPr>
        <w:rPr>
          <w:rFonts w:ascii="Times New Roman" w:eastAsia="Times New Roman" w:hAnsi="Times New Roman" w:cs="Times New Roman"/>
          <w:kern w:val="0"/>
          <w:lang w:eastAsia="it-IT"/>
          <w14:ligatures w14:val="none"/>
        </w:rPr>
      </w:pPr>
    </w:p>
    <w:p w14:paraId="34FA3F44" w14:textId="77777777" w:rsidR="004671F7" w:rsidRPr="00EE1559" w:rsidRDefault="004671F7">
      <w:pPr>
        <w:rPr>
          <w:rFonts w:ascii="Times New Roman" w:hAnsi="Times New Roman" w:cs="Times New Roman"/>
        </w:rPr>
      </w:pPr>
    </w:p>
    <w:sectPr w:rsidR="004671F7" w:rsidRPr="00EE15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6D"/>
    <w:rsid w:val="0018306D"/>
    <w:rsid w:val="004671F7"/>
    <w:rsid w:val="00CB645D"/>
    <w:rsid w:val="00D3141B"/>
    <w:rsid w:val="00DC7456"/>
    <w:rsid w:val="00DD50C8"/>
    <w:rsid w:val="00DE6027"/>
    <w:rsid w:val="00E105F7"/>
    <w:rsid w:val="00EE1559"/>
    <w:rsid w:val="00F34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A669FC1"/>
  <w15:chartTrackingRefBased/>
  <w15:docId w15:val="{692F6B3A-6B74-0348-8137-86AB109F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83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3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30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30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30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306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306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306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306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30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30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30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30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30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30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30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30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30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306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30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306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30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306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306D"/>
    <w:rPr>
      <w:i/>
      <w:iCs/>
      <w:color w:val="404040" w:themeColor="text1" w:themeTint="BF"/>
    </w:rPr>
  </w:style>
  <w:style w:type="paragraph" w:styleId="Paragrafoelenco">
    <w:name w:val="List Paragraph"/>
    <w:basedOn w:val="Normale"/>
    <w:uiPriority w:val="34"/>
    <w:qFormat/>
    <w:rsid w:val="0018306D"/>
    <w:pPr>
      <w:ind w:left="720"/>
      <w:contextualSpacing/>
    </w:pPr>
  </w:style>
  <w:style w:type="character" w:styleId="Enfasiintensa">
    <w:name w:val="Intense Emphasis"/>
    <w:basedOn w:val="Carpredefinitoparagrafo"/>
    <w:uiPriority w:val="21"/>
    <w:qFormat/>
    <w:rsid w:val="0018306D"/>
    <w:rPr>
      <w:i/>
      <w:iCs/>
      <w:color w:val="0F4761" w:themeColor="accent1" w:themeShade="BF"/>
    </w:rPr>
  </w:style>
  <w:style w:type="paragraph" w:styleId="Citazioneintensa">
    <w:name w:val="Intense Quote"/>
    <w:basedOn w:val="Normale"/>
    <w:next w:val="Normale"/>
    <w:link w:val="CitazioneintensaCarattere"/>
    <w:uiPriority w:val="30"/>
    <w:qFormat/>
    <w:rsid w:val="00183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306D"/>
    <w:rPr>
      <w:i/>
      <w:iCs/>
      <w:color w:val="0F4761" w:themeColor="accent1" w:themeShade="BF"/>
    </w:rPr>
  </w:style>
  <w:style w:type="character" w:styleId="Riferimentointenso">
    <w:name w:val="Intense Reference"/>
    <w:basedOn w:val="Carpredefinitoparagrafo"/>
    <w:uiPriority w:val="32"/>
    <w:qFormat/>
    <w:rsid w:val="0018306D"/>
    <w:rPr>
      <w:b/>
      <w:bCs/>
      <w:smallCaps/>
      <w:color w:val="0F4761" w:themeColor="accent1" w:themeShade="BF"/>
      <w:spacing w:val="5"/>
    </w:rPr>
  </w:style>
  <w:style w:type="paragraph" w:styleId="NormaleWeb">
    <w:name w:val="Normal (Web)"/>
    <w:basedOn w:val="Normale"/>
    <w:uiPriority w:val="99"/>
    <w:semiHidden/>
    <w:unhideWhenUsed/>
    <w:rsid w:val="0018306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18306D"/>
    <w:rPr>
      <w:i/>
      <w:iCs/>
    </w:rPr>
  </w:style>
  <w:style w:type="character" w:customStyle="1" w:styleId="apple-converted-space">
    <w:name w:val="apple-converted-space"/>
    <w:basedOn w:val="Carpredefinitoparagrafo"/>
    <w:rsid w:val="0018306D"/>
  </w:style>
  <w:style w:type="character" w:styleId="Collegamentoipertestuale">
    <w:name w:val="Hyperlink"/>
    <w:basedOn w:val="Carpredefinitoparagrafo"/>
    <w:uiPriority w:val="99"/>
    <w:semiHidden/>
    <w:unhideWhenUsed/>
    <w:rsid w:val="00183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urcost.org/decisioni/2022/0195s-22.html" TargetMode="External"/><Relationship Id="rId18" Type="http://schemas.openxmlformats.org/officeDocument/2006/relationships/hyperlink" Target="https://giurcost.org/decisioni/1967/0120s-67.html" TargetMode="External"/><Relationship Id="rId26" Type="http://schemas.openxmlformats.org/officeDocument/2006/relationships/hyperlink" Target="https://eur-lex.europa.eu/legal-content/IT/TXT/HTML/?uri=CELEX:62017CJ0221_RES&amp;qid=1753970455132" TargetMode="External"/><Relationship Id="rId39" Type="http://schemas.openxmlformats.org/officeDocument/2006/relationships/theme" Target="theme/theme1.xml"/><Relationship Id="rId21" Type="http://schemas.openxmlformats.org/officeDocument/2006/relationships/hyperlink" Target="https://eur-lex.europa.eu/legal-content/IT/TXT/HTML/?uri=CELEX:61990CJ0369&amp;qid=1753969799107" TargetMode="External"/><Relationship Id="rId34" Type="http://schemas.openxmlformats.org/officeDocument/2006/relationships/hyperlink" Target="https://giurcost.org/decisioni/2021/0071s-21.html" TargetMode="External"/><Relationship Id="rId7" Type="http://schemas.openxmlformats.org/officeDocument/2006/relationships/hyperlink" Target="https://giurcost.org/decisioni/2025/0025s-25.html" TargetMode="External"/><Relationship Id="rId12" Type="http://schemas.openxmlformats.org/officeDocument/2006/relationships/hyperlink" Target="https://giurcost.org/decisioni/2025/0025s-25.html" TargetMode="External"/><Relationship Id="rId17" Type="http://schemas.openxmlformats.org/officeDocument/2006/relationships/hyperlink" Target="https://giurcost.org/decisioni/2022/0195s-22.html" TargetMode="External"/><Relationship Id="rId25" Type="http://schemas.openxmlformats.org/officeDocument/2006/relationships/hyperlink" Target="https://eur-lex.europa.eu/legal-content/IT/TXT/HTML/?uri=CELEX:61990CJ0369&amp;qid=1753969799107" TargetMode="External"/><Relationship Id="rId33" Type="http://schemas.openxmlformats.org/officeDocument/2006/relationships/hyperlink" Target="https://giurcost.org/decisioni/2022/0171s-22.htm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iurcost.org/decisioni/2017/0258s-17.html" TargetMode="External"/><Relationship Id="rId20" Type="http://schemas.openxmlformats.org/officeDocument/2006/relationships/hyperlink" Target="https://giurcost.org/decisioni/2015/0119s-15.html" TargetMode="External"/><Relationship Id="rId29" Type="http://schemas.openxmlformats.org/officeDocument/2006/relationships/hyperlink" Target="https://eur-lex.europa.eu/legal-content/IT/TXT/HTML/?uri=CELEX:62023CJ0181&amp;qid=1753970084084" TargetMode="External"/><Relationship Id="rId1" Type="http://schemas.openxmlformats.org/officeDocument/2006/relationships/styles" Target="styles.xml"/><Relationship Id="rId6" Type="http://schemas.openxmlformats.org/officeDocument/2006/relationships/hyperlink" Target="https://giurcost.org/decisioni/1983/0030s-83.html" TargetMode="External"/><Relationship Id="rId11" Type="http://schemas.openxmlformats.org/officeDocument/2006/relationships/hyperlink" Target="https://giurcost.org/decisioni/2011/0245s-11.html" TargetMode="External"/><Relationship Id="rId24" Type="http://schemas.openxmlformats.org/officeDocument/2006/relationships/hyperlink" Target="https://eur-lex.europa.eu/legal-content/IT/TXT/HTML/?uri=CELEX:62008CJ0135&amp;qid=1753972220577" TargetMode="External"/><Relationship Id="rId32" Type="http://schemas.openxmlformats.org/officeDocument/2006/relationships/hyperlink" Target="https://eur-lex.europa.eu/legal-content/IT/TXT/HTML/?uri=CELEX:62023CJ0181&amp;qid=1753970084084" TargetMode="External"/><Relationship Id="rId37" Type="http://schemas.openxmlformats.org/officeDocument/2006/relationships/hyperlink" Target="https://giurcost.org/decisioni/2015/0071s-15.html" TargetMode="External"/><Relationship Id="rId5" Type="http://schemas.openxmlformats.org/officeDocument/2006/relationships/hyperlink" Target="https://giurcost.org/decisioni/1983/0030s-83.html" TargetMode="External"/><Relationship Id="rId15" Type="http://schemas.openxmlformats.org/officeDocument/2006/relationships/hyperlink" Target="https://giurcost.org/decisioni/2025/0025s-25.html" TargetMode="External"/><Relationship Id="rId23" Type="http://schemas.openxmlformats.org/officeDocument/2006/relationships/hyperlink" Target="https://eur-lex.europa.eu/legal-content/IT/TXT/HTML/?uri=CELEX:62021CJ0689_RES&amp;qid=1753970163552" TargetMode="External"/><Relationship Id="rId28" Type="http://schemas.openxmlformats.org/officeDocument/2006/relationships/hyperlink" Target="https://eur-lex.europa.eu/legal-content/IT/TXT/HTML/?uri=CELEX:62023CJ0181&amp;qid=1753970084084" TargetMode="External"/><Relationship Id="rId36" Type="http://schemas.openxmlformats.org/officeDocument/2006/relationships/hyperlink" Target="https://giurcost.org/decisioni/2018/0013s-18.html" TargetMode="External"/><Relationship Id="rId10" Type="http://schemas.openxmlformats.org/officeDocument/2006/relationships/hyperlink" Target="https://giurcost.org/decisioni/2013/0202s-13.html" TargetMode="External"/><Relationship Id="rId19" Type="http://schemas.openxmlformats.org/officeDocument/2006/relationships/hyperlink" Target="https://giurcost.org/decisioni/2024/0053s-24.html" TargetMode="External"/><Relationship Id="rId31" Type="http://schemas.openxmlformats.org/officeDocument/2006/relationships/hyperlink" Target="https://eur-lex.europa.eu/legal-content/IT/TXT/HTML/?uri=CELEX:62023CJ0181&amp;qid=1753970084084" TargetMode="External"/><Relationship Id="rId4" Type="http://schemas.openxmlformats.org/officeDocument/2006/relationships/hyperlink" Target="https://giurcost.org/decisioni/1983/0030s-83.html" TargetMode="External"/><Relationship Id="rId9" Type="http://schemas.openxmlformats.org/officeDocument/2006/relationships/hyperlink" Target="https://giurcost.org/decisioni/2019/0194s-19.html" TargetMode="External"/><Relationship Id="rId14" Type="http://schemas.openxmlformats.org/officeDocument/2006/relationships/hyperlink" Target="https://giurcost.org/decisioni/1983/0030s-83.html" TargetMode="External"/><Relationship Id="rId22" Type="http://schemas.openxmlformats.org/officeDocument/2006/relationships/hyperlink" Target="https://eur-lex.europa.eu/legal-content/IT/TXT/HTML/?uri=CELEX:62023CJ0181&amp;qid=1753970084084" TargetMode="External"/><Relationship Id="rId27" Type="http://schemas.openxmlformats.org/officeDocument/2006/relationships/hyperlink" Target="https://eur-lex.europa.eu/legal-content/IT/TXT/HTML/?uri=CELEX:62020CJ0118_RES&amp;qid=1753970267893" TargetMode="External"/><Relationship Id="rId30" Type="http://schemas.openxmlformats.org/officeDocument/2006/relationships/hyperlink" Target="https://eur-lex.europa.eu/legal-content/IT/TXT/HTML/?uri=CELEX:62023CJ0181&amp;qid=1753970084084" TargetMode="External"/><Relationship Id="rId35" Type="http://schemas.openxmlformats.org/officeDocument/2006/relationships/hyperlink" Target="https://giurcost.org/decisioni/2020/0085s-20.html" TargetMode="External"/><Relationship Id="rId8" Type="http://schemas.openxmlformats.org/officeDocument/2006/relationships/hyperlink" Target="https://giurcost.org/decisioni/2023/0088s-23.html" TargetMode="External"/><Relationship Id="rId3"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6135</Words>
  <Characters>34976</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4</cp:revision>
  <dcterms:created xsi:type="dcterms:W3CDTF">2025-11-10T18:53:00Z</dcterms:created>
  <dcterms:modified xsi:type="dcterms:W3CDTF">2025-11-10T21:34:00Z</dcterms:modified>
</cp:coreProperties>
</file>