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0EBB" w14:textId="70857C6E" w:rsidR="008C5B29" w:rsidRDefault="008C5B29" w:rsidP="008C5B29">
      <w:pPr>
        <w:pStyle w:val="NormaleWeb"/>
        <w:shd w:val="clear" w:color="auto" w:fill="FFFFFF"/>
        <w:adjustRightInd w:val="0"/>
        <w:snapToGrid w:val="0"/>
        <w:spacing w:before="0" w:beforeAutospacing="0" w:after="0" w:afterAutospacing="0"/>
        <w:jc w:val="both"/>
      </w:pPr>
      <w:r>
        <w:rPr>
          <w:rStyle w:val="apple-converted-space"/>
          <w:rFonts w:eastAsiaTheme="majorEastAsia"/>
          <w:b/>
          <w:bCs/>
          <w:color w:val="000000"/>
          <w:shd w:val="clear" w:color="auto" w:fill="FFFFFF"/>
        </w:rPr>
        <w:t xml:space="preserve">Sent. </w:t>
      </w:r>
      <w:r w:rsidRPr="007F2825">
        <w:rPr>
          <w:rStyle w:val="apple-converted-space"/>
          <w:rFonts w:eastAsiaTheme="majorEastAsia"/>
          <w:b/>
          <w:bCs/>
          <w:color w:val="000000"/>
          <w:shd w:val="clear" w:color="auto" w:fill="FFFFFF"/>
        </w:rPr>
        <w:t>69/</w:t>
      </w:r>
      <w:r>
        <w:rPr>
          <w:rStyle w:val="apple-converted-space"/>
          <w:rFonts w:eastAsiaTheme="majorEastAsia"/>
          <w:b/>
          <w:bCs/>
          <w:color w:val="000000"/>
          <w:shd w:val="clear" w:color="auto" w:fill="FFFFFF"/>
        </w:rPr>
        <w:t>20</w:t>
      </w:r>
      <w:r w:rsidRPr="007F2825">
        <w:rPr>
          <w:rStyle w:val="apple-converted-space"/>
          <w:rFonts w:eastAsiaTheme="majorEastAsia"/>
          <w:b/>
          <w:bCs/>
          <w:color w:val="000000"/>
          <w:shd w:val="clear" w:color="auto" w:fill="FFFFFF"/>
        </w:rPr>
        <w:t>25</w:t>
      </w:r>
    </w:p>
    <w:p w14:paraId="2A1A5632" w14:textId="77777777" w:rsidR="008C5B29" w:rsidRDefault="008C5B29" w:rsidP="008C5B29">
      <w:pPr>
        <w:pStyle w:val="NormaleWeb"/>
        <w:shd w:val="clear" w:color="auto" w:fill="FFFFFF"/>
        <w:adjustRightInd w:val="0"/>
        <w:snapToGrid w:val="0"/>
        <w:spacing w:before="0" w:beforeAutospacing="0" w:after="0" w:afterAutospacing="0"/>
        <w:jc w:val="both"/>
      </w:pPr>
    </w:p>
    <w:p w14:paraId="7D2DBBFE" w14:textId="5E0C4E54"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t>«</w:t>
      </w:r>
      <w:r w:rsidRPr="007F2825">
        <w:rPr>
          <w:color w:val="000000"/>
          <w:sz w:val="20"/>
          <w:szCs w:val="20"/>
        </w:rPr>
        <w:t xml:space="preserve">8.– Chiarito il perimetro del </w:t>
      </w:r>
      <w:proofErr w:type="spellStart"/>
      <w:r w:rsidRPr="007F2825">
        <w:rPr>
          <w:color w:val="000000"/>
          <w:sz w:val="20"/>
          <w:szCs w:val="20"/>
        </w:rPr>
        <w:t>thema</w:t>
      </w:r>
      <w:proofErr w:type="spellEnd"/>
      <w:r w:rsidRPr="007F2825">
        <w:rPr>
          <w:color w:val="000000"/>
          <w:sz w:val="20"/>
          <w:szCs w:val="20"/>
        </w:rPr>
        <w:t xml:space="preserve"> </w:t>
      </w:r>
      <w:proofErr w:type="spellStart"/>
      <w:r w:rsidRPr="007F2825">
        <w:rPr>
          <w:color w:val="000000"/>
          <w:sz w:val="20"/>
          <w:szCs w:val="20"/>
        </w:rPr>
        <w:t>decidendum</w:t>
      </w:r>
      <w:proofErr w:type="spellEnd"/>
      <w:r w:rsidRPr="007F2825">
        <w:rPr>
          <w:color w:val="000000"/>
          <w:sz w:val="20"/>
          <w:szCs w:val="20"/>
        </w:rPr>
        <w:t>, vanno esaminate, primariamente e congiuntamente, le censure poste in riferimento agli artt. 2 e 117, primo comma, Cost., quest’ultimo in relazione all’art. 8 CEDU.</w:t>
      </w:r>
    </w:p>
    <w:p w14:paraId="5E920013"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Le questioni non sono fondate.</w:t>
      </w:r>
    </w:p>
    <w:p w14:paraId="2219BC09"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9.– Questa Corte, in linea con quanto già in precedenza affermato (</w:t>
      </w:r>
      <w:hyperlink r:id="rId6" w:history="1">
        <w:r w:rsidRPr="007F2825">
          <w:rPr>
            <w:rStyle w:val="Collegamentoipertestuale"/>
            <w:rFonts w:eastAsiaTheme="majorEastAsia"/>
            <w:color w:val="0E10A1"/>
            <w:sz w:val="20"/>
            <w:szCs w:val="20"/>
            <w:shd w:val="clear" w:color="auto" w:fill="FBFB68"/>
          </w:rPr>
          <w:t>sentenza n. 221 del 2019</w:t>
        </w:r>
      </w:hyperlink>
      <w:r w:rsidRPr="007F2825">
        <w:rPr>
          <w:color w:val="000000"/>
          <w:sz w:val="20"/>
          <w:szCs w:val="20"/>
        </w:rPr>
        <w:t>), ritiene che la discrezionalità del legislatore rinvenga un ambito di intervento elettivo nella perimetrazione teleologica della regolamentazione concernente l’accesso alla procreazione medicalmente assistita.</w:t>
      </w:r>
    </w:p>
    <w:p w14:paraId="504F64A8"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La materia coinvolge il delicato rapporto tra la funzione regolatoria propria del diritto e le potenzialità insite in una tecnica che, nel riguardare la procreazione, presenta rilevanti implicazioni bioetiche e incisivi riverberi sociali, riguardanti i rapporti interpersonali e familiari.</w:t>
      </w:r>
    </w:p>
    <w:p w14:paraId="10D57480"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A questa Corte, dunque, compete unicamente accertare che non sia superato, in relazione all’interesse che si assume leso, l’argine della manifesta irragionevolezza e sproporzione, tenuto conto anche dell’evoluzione dell’ordinamento.</w:t>
      </w:r>
    </w:p>
    <w:p w14:paraId="67E30274"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9.1.– A tal fine, è opportuno ricostruire, anzitutto, le ragioni sottese alle scelte operate nel 2004 dal legislatore.</w:t>
      </w:r>
    </w:p>
    <w:p w14:paraId="0AE1FF93"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Questi, nell’approntare una «prima legislazione organica» (</w:t>
      </w:r>
      <w:hyperlink r:id="rId7" w:history="1">
        <w:r w:rsidRPr="007F2825">
          <w:rPr>
            <w:rStyle w:val="Collegamentoipertestuale"/>
            <w:rFonts w:eastAsiaTheme="majorEastAsia"/>
            <w:color w:val="0E10A1"/>
            <w:sz w:val="20"/>
            <w:szCs w:val="20"/>
            <w:shd w:val="clear" w:color="auto" w:fill="FBFB68"/>
          </w:rPr>
          <w:t>sentenza n. 45 del 2005</w:t>
        </w:r>
      </w:hyperlink>
      <w:r w:rsidRPr="007F2825">
        <w:rPr>
          <w:rStyle w:val="apple-converted-space"/>
          <w:rFonts w:eastAsiaTheme="majorEastAsia"/>
          <w:color w:val="000000"/>
          <w:sz w:val="20"/>
          <w:szCs w:val="20"/>
        </w:rPr>
        <w:t> </w:t>
      </w:r>
      <w:r w:rsidRPr="007F2825">
        <w:rPr>
          <w:color w:val="000000"/>
          <w:sz w:val="20"/>
          <w:szCs w:val="20"/>
        </w:rPr>
        <w:t>ripresa dalla</w:t>
      </w:r>
      <w:r w:rsidRPr="007F2825">
        <w:rPr>
          <w:rStyle w:val="apple-converted-space"/>
          <w:rFonts w:eastAsiaTheme="majorEastAsia"/>
          <w:color w:val="000000"/>
          <w:sz w:val="20"/>
          <w:szCs w:val="20"/>
        </w:rPr>
        <w:t> </w:t>
      </w:r>
      <w:hyperlink r:id="rId8" w:history="1">
        <w:r w:rsidRPr="007F2825">
          <w:rPr>
            <w:rStyle w:val="Collegamentoipertestuale"/>
            <w:rFonts w:eastAsiaTheme="majorEastAsia"/>
            <w:color w:val="0E10A1"/>
            <w:sz w:val="20"/>
            <w:szCs w:val="20"/>
            <w:shd w:val="clear" w:color="auto" w:fill="FBFB68"/>
          </w:rPr>
          <w:t>sentenza n. 221 del 2019</w:t>
        </w:r>
      </w:hyperlink>
      <w:r w:rsidRPr="007F2825">
        <w:rPr>
          <w:color w:val="000000"/>
          <w:sz w:val="20"/>
          <w:szCs w:val="20"/>
        </w:rPr>
        <w:t xml:space="preserve">), volta a sottrarre la procreazione medicalmente assistita a quello che è stato definito il limbo del non diritto, ha operato un </w:t>
      </w:r>
      <w:r w:rsidRPr="00087494">
        <w:rPr>
          <w:color w:val="EE0000"/>
          <w:sz w:val="20"/>
          <w:szCs w:val="20"/>
        </w:rPr>
        <w:t>bilanciamento di interessi, ispirato al principio di precauzione</w:t>
      </w:r>
      <w:r w:rsidRPr="007F2825">
        <w:rPr>
          <w:color w:val="000000"/>
          <w:sz w:val="20"/>
          <w:szCs w:val="20"/>
        </w:rPr>
        <w:t>.</w:t>
      </w:r>
    </w:p>
    <w:p w14:paraId="1B165F4E"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 xml:space="preserve">A fronte di tecniche idonee a condurre alla fecondazione dell’embrione prescindendo dal fatto naturale della procreazione, il legislatore ha cercato di </w:t>
      </w:r>
      <w:r w:rsidRPr="00087494">
        <w:rPr>
          <w:color w:val="EE0000"/>
          <w:sz w:val="20"/>
          <w:szCs w:val="20"/>
        </w:rPr>
        <w:t>non creare una distanza eccessiva rispetto al modello della generazione naturale della vita</w:t>
      </w:r>
      <w:r w:rsidRPr="007F2825">
        <w:rPr>
          <w:color w:val="000000"/>
          <w:sz w:val="20"/>
          <w:szCs w:val="20"/>
        </w:rPr>
        <w:t>. In pari tempo, ha inteso proteggere a priori l’interesse dei futuri nati, nella consapevolezza della diversità fra le tecniche di PMA e la dimensione intima, puramente privata, della procreazione naturale, che tollera solo discipline a posteriori a tutela del bambino oramai nato.</w:t>
      </w:r>
    </w:p>
    <w:p w14:paraId="4452EFF4"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 xml:space="preserve">Per questo, il legislatore, da un lato, ha fatto riferimento a </w:t>
      </w:r>
      <w:r w:rsidRPr="00087494">
        <w:rPr>
          <w:color w:val="EE0000"/>
          <w:sz w:val="20"/>
          <w:szCs w:val="20"/>
        </w:rPr>
        <w:t>coppie rispondenti ai presupposti della procreazione naturale – coppie di diverso sesso, in età potenzialmente fertile, viventi – che in tanto possono accedere alle tecniche, in quanto siano affette da sterilità o infertilità patologiche o possano trasmettere malattie genetiche</w:t>
      </w:r>
      <w:r w:rsidRPr="007F2825">
        <w:rPr>
          <w:color w:val="000000"/>
          <w:sz w:val="20"/>
          <w:szCs w:val="20"/>
        </w:rPr>
        <w:t>.</w:t>
      </w:r>
    </w:p>
    <w:p w14:paraId="3CCC3B75"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Da un altro lato, nell’incertezza sui riflessi che un simile cambiamento può avere sui futuri nati, il legislatore ha identificato, nel loro interesse, una soluzione di partenza ritenuta idonea a fornire la migliore tutela in astratto del minore. Questa viene associata alla presenza di futuri genitori identificati nella coppia formata da individui maggiorenni – che, dunque, si presuppongono maturi – e unita da un legame affettivo, attraverso il matrimonio, secondo il paradigma familiare di cui all’art. 29 Cost., o attraverso la convivenza, secondo il modello riconducibile agli artt. 2 e 30 Cost.</w:t>
      </w:r>
    </w:p>
    <w:p w14:paraId="0211CCDA"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Si tratta di una soluzione che rinviene le condizioni di accesso nello stesso testo costituzionale, il quale, a sua volta, riflette la stratificazione di modelli sociali storicamente affermatisi.</w:t>
      </w:r>
    </w:p>
    <w:p w14:paraId="7FEC7666"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 xml:space="preserve">9.2.– Nondimeno, essa </w:t>
      </w:r>
      <w:r w:rsidRPr="00087494">
        <w:rPr>
          <w:color w:val="EE0000"/>
          <w:sz w:val="20"/>
          <w:szCs w:val="20"/>
        </w:rPr>
        <w:t>non configura una scelta costituzionalmente obbligata</w:t>
      </w:r>
      <w:r w:rsidRPr="007F2825">
        <w:rPr>
          <w:color w:val="000000"/>
          <w:sz w:val="20"/>
          <w:szCs w:val="20"/>
        </w:rPr>
        <w:t xml:space="preserve">, posto che </w:t>
      </w:r>
      <w:r w:rsidRPr="00087494">
        <w:rPr>
          <w:color w:val="EE0000"/>
          <w:sz w:val="20"/>
          <w:szCs w:val="20"/>
        </w:rPr>
        <w:t>la Costituzione non abbraccia solo modelli di famiglie composte da una coppia di genitori di diverso sesso uniti da vincoli affettivi</w:t>
      </w:r>
      <w:r w:rsidRPr="007F2825">
        <w:rPr>
          <w:color w:val="000000"/>
          <w:sz w:val="20"/>
          <w:szCs w:val="20"/>
        </w:rPr>
        <w:t>.</w:t>
      </w:r>
    </w:p>
    <w:p w14:paraId="2D871188"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Questa Corte ha già in passato riconosciuto che la nozione stessa di famiglia «non si [può] ritenere "</w:t>
      </w:r>
      <w:proofErr w:type="spellStart"/>
      <w:r w:rsidRPr="007F2825">
        <w:rPr>
          <w:color w:val="000000"/>
          <w:sz w:val="20"/>
          <w:szCs w:val="20"/>
        </w:rPr>
        <w:t>cristallizzat</w:t>
      </w:r>
      <w:proofErr w:type="spellEnd"/>
      <w:r w:rsidRPr="007F2825">
        <w:rPr>
          <w:color w:val="000000"/>
          <w:sz w:val="20"/>
          <w:szCs w:val="20"/>
        </w:rPr>
        <w:t xml:space="preserve">[a]” con riferimento all’epoca in cui la Costituzione entrò in vigore, perché [è] </w:t>
      </w:r>
      <w:proofErr w:type="spellStart"/>
      <w:r w:rsidRPr="007F2825">
        <w:rPr>
          <w:color w:val="000000"/>
          <w:sz w:val="20"/>
          <w:szCs w:val="20"/>
        </w:rPr>
        <w:t>dotat</w:t>
      </w:r>
      <w:proofErr w:type="spellEnd"/>
      <w:r w:rsidRPr="007F2825">
        <w:rPr>
          <w:color w:val="000000"/>
          <w:sz w:val="20"/>
          <w:szCs w:val="20"/>
        </w:rPr>
        <w:t xml:space="preserve">[a] della duttilità propria dei princìpi costituzionali e, quindi, [va] […] </w:t>
      </w:r>
      <w:proofErr w:type="spellStart"/>
      <w:r w:rsidRPr="007F2825">
        <w:rPr>
          <w:color w:val="000000"/>
          <w:sz w:val="20"/>
          <w:szCs w:val="20"/>
        </w:rPr>
        <w:t>interpretat</w:t>
      </w:r>
      <w:proofErr w:type="spellEnd"/>
      <w:r w:rsidRPr="007F2825">
        <w:rPr>
          <w:color w:val="000000"/>
          <w:sz w:val="20"/>
          <w:szCs w:val="20"/>
        </w:rPr>
        <w:t>[a] tenendo conto non soltanto delle trasformazioni dell’ordinamento, ma anche dell’evoluzione della società e dei costumi» (</w:t>
      </w:r>
      <w:hyperlink r:id="rId9" w:history="1">
        <w:r w:rsidRPr="007F2825">
          <w:rPr>
            <w:rStyle w:val="Collegamentoipertestuale"/>
            <w:rFonts w:eastAsiaTheme="majorEastAsia"/>
            <w:color w:val="0E10A1"/>
            <w:sz w:val="20"/>
            <w:szCs w:val="20"/>
            <w:shd w:val="clear" w:color="auto" w:fill="FBFB68"/>
          </w:rPr>
          <w:t>sentenza n. 138 del 2010</w:t>
        </w:r>
      </w:hyperlink>
      <w:r w:rsidRPr="007F2825">
        <w:rPr>
          <w:color w:val="000000"/>
          <w:sz w:val="20"/>
          <w:szCs w:val="20"/>
        </w:rPr>
        <w:t>, che ha rigettato la possibilità di ascrivere le unioni tra persone dello stesso sesso all’art. 29 Cost., ma le ha annoverate tra le formazioni sociali di cui all’art. 2 Cost.).</w:t>
      </w:r>
    </w:p>
    <w:p w14:paraId="31B85D28"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Al contempo, questa stessa Corte non ha escluso la «"capacità della donna sola, della coppia omosessuale e della coppia eterosessuale in età avanzata di svolgere validamente anch’esse, all’occorrenza, le funzioni genitoriali” (</w:t>
      </w:r>
      <w:hyperlink r:id="rId10" w:history="1">
        <w:r w:rsidRPr="007F2825">
          <w:rPr>
            <w:rStyle w:val="Collegamentoipertestuale"/>
            <w:rFonts w:eastAsiaTheme="majorEastAsia"/>
            <w:color w:val="0E10A1"/>
            <w:sz w:val="20"/>
            <w:szCs w:val="20"/>
            <w:shd w:val="clear" w:color="auto" w:fill="FBFB68"/>
          </w:rPr>
          <w:t>sentenza n. 221 del 2019</w:t>
        </w:r>
      </w:hyperlink>
      <w:r w:rsidRPr="007F2825">
        <w:rPr>
          <w:color w:val="000000"/>
          <w:sz w:val="20"/>
          <w:szCs w:val="20"/>
        </w:rPr>
        <w:t>)» (</w:t>
      </w:r>
      <w:hyperlink r:id="rId11" w:history="1">
        <w:r w:rsidRPr="007F2825">
          <w:rPr>
            <w:rStyle w:val="Collegamentoipertestuale"/>
            <w:rFonts w:eastAsiaTheme="majorEastAsia"/>
            <w:color w:val="0E10A1"/>
            <w:sz w:val="20"/>
            <w:szCs w:val="20"/>
            <w:shd w:val="clear" w:color="auto" w:fill="FBFB68"/>
          </w:rPr>
          <w:t>sentenza n. 230 del 2020</w:t>
        </w:r>
      </w:hyperlink>
      <w:r w:rsidRPr="007F2825">
        <w:rPr>
          <w:color w:val="000000"/>
          <w:sz w:val="20"/>
          <w:szCs w:val="20"/>
        </w:rPr>
        <w:t>).</w:t>
      </w:r>
    </w:p>
    <w:p w14:paraId="08DA9DB4"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Infine, con la</w:t>
      </w:r>
      <w:r w:rsidRPr="007F2825">
        <w:rPr>
          <w:rStyle w:val="apple-converted-space"/>
          <w:rFonts w:eastAsiaTheme="majorEastAsia"/>
          <w:color w:val="000000"/>
          <w:sz w:val="20"/>
          <w:szCs w:val="20"/>
        </w:rPr>
        <w:t> </w:t>
      </w:r>
      <w:hyperlink r:id="rId12" w:history="1">
        <w:r w:rsidRPr="007F2825">
          <w:rPr>
            <w:rStyle w:val="Collegamentoipertestuale"/>
            <w:rFonts w:eastAsiaTheme="majorEastAsia"/>
            <w:color w:val="0E10A1"/>
            <w:sz w:val="20"/>
            <w:szCs w:val="20"/>
            <w:shd w:val="clear" w:color="auto" w:fill="FBFB68"/>
          </w:rPr>
          <w:t>sentenza n. 68 del 2025</w:t>
        </w:r>
      </w:hyperlink>
      <w:r w:rsidRPr="007F2825">
        <w:rPr>
          <w:color w:val="000000"/>
          <w:sz w:val="20"/>
          <w:szCs w:val="20"/>
        </w:rPr>
        <w:t>, questa Corte, in presenza di un bambino nato in Italia a seguito di una procedura di PMA effettuata all’estero da due donne nel rispetto della disciplina straniera – sulla cui base, se il bambino fosse nato all’estero, il vincolo genitoriale sarebbe stato riconosciuto in Italia anche nei confronti della madre intenzionale – ha ritenuto, nell’interesse del minore, che la madre intenzionale possa riconoscere il figlio.</w:t>
      </w:r>
    </w:p>
    <w:p w14:paraId="45E0B185"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 xml:space="preserve">10.– Ferma restando, dunque, l’assenza di impedimenti costituzionali acché il legislatore estenda l’accesso alla procreazione medicalmente assistita anche a nuclei familiari diversi da quelli indicati nell’art. 5 della legge n. 40 del 2004, </w:t>
      </w:r>
      <w:r w:rsidRPr="00087494">
        <w:rPr>
          <w:color w:val="EE0000"/>
          <w:sz w:val="20"/>
          <w:szCs w:val="20"/>
        </w:rPr>
        <w:t>occorre a questo punto verificare se l’omessa considerazione della donna singola superi il vaglio della non manifesta irragionevolezza e sproporzione</w:t>
      </w:r>
      <w:r w:rsidRPr="007F2825">
        <w:rPr>
          <w:color w:val="000000"/>
          <w:sz w:val="20"/>
          <w:szCs w:val="20"/>
        </w:rPr>
        <w:t>.</w:t>
      </w:r>
    </w:p>
    <w:p w14:paraId="58071ED2"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 xml:space="preserve">10.1.– L’interesse che si assume violato, in riferimento all’art. 2 Cost. e all’art. 8 CEDU, per il tramite dell’art. 117, primo comma, Cost., è quello </w:t>
      </w:r>
      <w:r w:rsidRPr="00087494">
        <w:rPr>
          <w:color w:val="EE0000"/>
          <w:sz w:val="20"/>
          <w:szCs w:val="20"/>
        </w:rPr>
        <w:t>all’autodeterminazione procreativa</w:t>
      </w:r>
      <w:r w:rsidRPr="007F2825">
        <w:rPr>
          <w:color w:val="000000"/>
          <w:sz w:val="20"/>
          <w:szCs w:val="20"/>
        </w:rPr>
        <w:t>, ascrivibile in pari tempo alla tutela della vita privata.</w:t>
      </w:r>
    </w:p>
    <w:p w14:paraId="24364086"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 xml:space="preserve">Tale interesse non è espressione di una libertà che abbia la stessa latitudine di ciò che la tecnica potenzialmente consente, </w:t>
      </w:r>
      <w:r w:rsidRPr="00087494">
        <w:rPr>
          <w:color w:val="EE0000"/>
          <w:sz w:val="20"/>
          <w:szCs w:val="20"/>
        </w:rPr>
        <w:t xml:space="preserve">né fonda una pretesa costitutiva di un diritto alla genitorialità </w:t>
      </w:r>
      <w:r w:rsidRPr="007F2825">
        <w:rPr>
          <w:color w:val="000000"/>
          <w:sz w:val="20"/>
          <w:szCs w:val="20"/>
        </w:rPr>
        <w:t>(sentenze di questa Corte</w:t>
      </w:r>
      <w:r w:rsidRPr="007F2825">
        <w:rPr>
          <w:rStyle w:val="apple-converted-space"/>
          <w:rFonts w:eastAsiaTheme="majorEastAsia"/>
          <w:color w:val="000000"/>
          <w:sz w:val="20"/>
          <w:szCs w:val="20"/>
        </w:rPr>
        <w:t> </w:t>
      </w:r>
      <w:hyperlink r:id="rId13" w:history="1">
        <w:r w:rsidRPr="007F2825">
          <w:rPr>
            <w:rStyle w:val="Collegamentoipertestuale"/>
            <w:rFonts w:eastAsiaTheme="majorEastAsia"/>
            <w:color w:val="0E10A1"/>
            <w:sz w:val="20"/>
            <w:szCs w:val="20"/>
            <w:shd w:val="clear" w:color="auto" w:fill="FBFB68"/>
          </w:rPr>
          <w:t>n. 33 del 2025</w:t>
        </w:r>
      </w:hyperlink>
      <w:r w:rsidRPr="007F2825">
        <w:rPr>
          <w:color w:val="000000"/>
          <w:sz w:val="20"/>
          <w:szCs w:val="20"/>
        </w:rPr>
        <w:t>,</w:t>
      </w:r>
      <w:r w:rsidRPr="007F2825">
        <w:rPr>
          <w:rStyle w:val="apple-converted-space"/>
          <w:rFonts w:eastAsiaTheme="majorEastAsia"/>
          <w:color w:val="000000"/>
          <w:sz w:val="20"/>
          <w:szCs w:val="20"/>
        </w:rPr>
        <w:t> </w:t>
      </w:r>
      <w:hyperlink r:id="rId14" w:history="1">
        <w:r w:rsidRPr="007F2825">
          <w:rPr>
            <w:rStyle w:val="Collegamentoipertestuale"/>
            <w:rFonts w:eastAsiaTheme="majorEastAsia"/>
            <w:color w:val="0E10A1"/>
            <w:sz w:val="20"/>
            <w:szCs w:val="20"/>
            <w:shd w:val="clear" w:color="auto" w:fill="FBFB68"/>
          </w:rPr>
          <w:t>n. 33 del 2021</w:t>
        </w:r>
      </w:hyperlink>
      <w:r w:rsidRPr="007F2825">
        <w:rPr>
          <w:color w:val="000000"/>
          <w:sz w:val="20"/>
          <w:szCs w:val="20"/>
        </w:rPr>
        <w:t>,</w:t>
      </w:r>
      <w:r w:rsidRPr="007F2825">
        <w:rPr>
          <w:rStyle w:val="apple-converted-space"/>
          <w:rFonts w:eastAsiaTheme="majorEastAsia"/>
          <w:color w:val="000000"/>
          <w:sz w:val="20"/>
          <w:szCs w:val="20"/>
        </w:rPr>
        <w:t> </w:t>
      </w:r>
      <w:hyperlink r:id="rId15" w:history="1">
        <w:r w:rsidRPr="007F2825">
          <w:rPr>
            <w:rStyle w:val="Collegamentoipertestuale"/>
            <w:rFonts w:eastAsiaTheme="majorEastAsia"/>
            <w:color w:val="0E10A1"/>
            <w:sz w:val="20"/>
            <w:szCs w:val="20"/>
            <w:shd w:val="clear" w:color="auto" w:fill="FBFB68"/>
          </w:rPr>
          <w:t>n. 230 del 2020</w:t>
        </w:r>
      </w:hyperlink>
      <w:r w:rsidRPr="007F2825">
        <w:rPr>
          <w:rStyle w:val="apple-converted-space"/>
          <w:rFonts w:eastAsiaTheme="majorEastAsia"/>
          <w:color w:val="000000"/>
          <w:sz w:val="20"/>
          <w:szCs w:val="20"/>
        </w:rPr>
        <w:t> </w:t>
      </w:r>
      <w:r w:rsidRPr="007F2825">
        <w:rPr>
          <w:color w:val="000000"/>
          <w:sz w:val="20"/>
          <w:szCs w:val="20"/>
        </w:rPr>
        <w:t>e</w:t>
      </w:r>
      <w:r w:rsidRPr="007F2825">
        <w:rPr>
          <w:rStyle w:val="apple-converted-space"/>
          <w:rFonts w:eastAsiaTheme="majorEastAsia"/>
          <w:color w:val="000000"/>
          <w:sz w:val="20"/>
          <w:szCs w:val="20"/>
        </w:rPr>
        <w:t> </w:t>
      </w:r>
      <w:hyperlink r:id="rId16" w:history="1">
        <w:r w:rsidRPr="007F2825">
          <w:rPr>
            <w:rStyle w:val="Collegamentoipertestuale"/>
            <w:rFonts w:eastAsiaTheme="majorEastAsia"/>
            <w:color w:val="0E10A1"/>
            <w:sz w:val="20"/>
            <w:szCs w:val="20"/>
            <w:shd w:val="clear" w:color="auto" w:fill="FBFB68"/>
          </w:rPr>
          <w:t>n. 221 del 2019</w:t>
        </w:r>
      </w:hyperlink>
      <w:r w:rsidRPr="007F2825">
        <w:rPr>
          <w:color w:val="000000"/>
          <w:sz w:val="20"/>
          <w:szCs w:val="20"/>
        </w:rPr>
        <w:t>; nonché Corte EDU, d</w:t>
      </w:r>
      <w:hyperlink r:id="rId17" w:history="1">
        <w:r w:rsidRPr="007F2825">
          <w:rPr>
            <w:rStyle w:val="Collegamentoipertestuale"/>
            <w:rFonts w:eastAsiaTheme="majorEastAsia"/>
            <w:color w:val="0E10A1"/>
            <w:sz w:val="20"/>
            <w:szCs w:val="20"/>
            <w:shd w:val="clear" w:color="auto" w:fill="FBFB68"/>
          </w:rPr>
          <w:t xml:space="preserve">ecisione 5 dicembre 2019, </w:t>
        </w:r>
        <w:proofErr w:type="spellStart"/>
        <w:r w:rsidRPr="007F2825">
          <w:rPr>
            <w:rStyle w:val="Collegamentoipertestuale"/>
            <w:rFonts w:eastAsiaTheme="majorEastAsia"/>
            <w:color w:val="0E10A1"/>
            <w:sz w:val="20"/>
            <w:szCs w:val="20"/>
            <w:shd w:val="clear" w:color="auto" w:fill="FBFB68"/>
          </w:rPr>
          <w:t>Petithory</w:t>
        </w:r>
        <w:proofErr w:type="spellEnd"/>
        <w:r w:rsidRPr="007F2825">
          <w:rPr>
            <w:rStyle w:val="Collegamentoipertestuale"/>
            <w:rFonts w:eastAsiaTheme="majorEastAsia"/>
            <w:color w:val="0E10A1"/>
            <w:sz w:val="20"/>
            <w:szCs w:val="20"/>
            <w:shd w:val="clear" w:color="auto" w:fill="FBFB68"/>
          </w:rPr>
          <w:t xml:space="preserve"> Lanzmann contro Francia</w:t>
        </w:r>
      </w:hyperlink>
      <w:r w:rsidRPr="007F2825">
        <w:rPr>
          <w:color w:val="000000"/>
          <w:sz w:val="20"/>
          <w:szCs w:val="20"/>
        </w:rPr>
        <w:t>, paragrafo 18;</w:t>
      </w:r>
      <w:r w:rsidRPr="007F2825">
        <w:rPr>
          <w:rStyle w:val="apple-converted-space"/>
          <w:rFonts w:eastAsiaTheme="majorEastAsia"/>
          <w:color w:val="000000"/>
          <w:sz w:val="20"/>
          <w:szCs w:val="20"/>
        </w:rPr>
        <w:t> </w:t>
      </w:r>
      <w:hyperlink r:id="rId18" w:history="1">
        <w:r w:rsidRPr="007F2825">
          <w:rPr>
            <w:rStyle w:val="Collegamentoipertestuale"/>
            <w:rFonts w:eastAsiaTheme="majorEastAsia"/>
            <w:color w:val="0E10A1"/>
            <w:sz w:val="20"/>
            <w:szCs w:val="20"/>
            <w:shd w:val="clear" w:color="auto" w:fill="FBFB68"/>
          </w:rPr>
          <w:t>sentenze 24 gennaio 2017, Paradiso e Campanelli contro Italia</w:t>
        </w:r>
      </w:hyperlink>
      <w:r w:rsidRPr="007F2825">
        <w:rPr>
          <w:color w:val="000000"/>
          <w:sz w:val="20"/>
          <w:szCs w:val="20"/>
        </w:rPr>
        <w:t>, paragrafo 141, e</w:t>
      </w:r>
      <w:r w:rsidRPr="007F2825">
        <w:rPr>
          <w:rStyle w:val="apple-converted-space"/>
          <w:rFonts w:eastAsiaTheme="majorEastAsia"/>
          <w:color w:val="000000"/>
          <w:sz w:val="20"/>
          <w:szCs w:val="20"/>
        </w:rPr>
        <w:t> </w:t>
      </w:r>
      <w:hyperlink r:id="rId19" w:history="1">
        <w:r w:rsidRPr="007F2825">
          <w:rPr>
            <w:rStyle w:val="Collegamentoipertestuale"/>
            <w:rFonts w:eastAsiaTheme="majorEastAsia"/>
            <w:color w:val="0E10A1"/>
            <w:sz w:val="20"/>
            <w:szCs w:val="20"/>
            <w:shd w:val="clear" w:color="auto" w:fill="FBFB68"/>
          </w:rPr>
          <w:t>22 gennaio 2008, E.B. contro Francia</w:t>
        </w:r>
      </w:hyperlink>
      <w:r w:rsidRPr="007F2825">
        <w:rPr>
          <w:color w:val="000000"/>
          <w:sz w:val="20"/>
          <w:szCs w:val="20"/>
        </w:rPr>
        <w:t>, paragrafo 41;</w:t>
      </w:r>
      <w:r w:rsidRPr="007F2825">
        <w:rPr>
          <w:rStyle w:val="apple-converted-space"/>
          <w:rFonts w:eastAsiaTheme="majorEastAsia"/>
          <w:color w:val="000000"/>
          <w:sz w:val="20"/>
          <w:szCs w:val="20"/>
        </w:rPr>
        <w:t> </w:t>
      </w:r>
      <w:hyperlink r:id="rId20" w:history="1">
        <w:r w:rsidRPr="007F2825">
          <w:rPr>
            <w:rStyle w:val="Collegamentoipertestuale"/>
            <w:rFonts w:eastAsiaTheme="majorEastAsia"/>
            <w:color w:val="0E10A1"/>
            <w:sz w:val="20"/>
            <w:szCs w:val="20"/>
            <w:shd w:val="clear" w:color="auto" w:fill="FBFB68"/>
          </w:rPr>
          <w:t>28 giugno 2007, Wagner e J.M.W.L. contro Lussemburgo</w:t>
        </w:r>
      </w:hyperlink>
      <w:r w:rsidRPr="007F2825">
        <w:rPr>
          <w:color w:val="000000"/>
          <w:sz w:val="20"/>
          <w:szCs w:val="20"/>
        </w:rPr>
        <w:t>, paragrafo 121;</w:t>
      </w:r>
      <w:r w:rsidRPr="007F2825">
        <w:rPr>
          <w:rStyle w:val="apple-converted-space"/>
          <w:rFonts w:eastAsiaTheme="majorEastAsia"/>
          <w:color w:val="000000"/>
          <w:sz w:val="20"/>
          <w:szCs w:val="20"/>
        </w:rPr>
        <w:t> </w:t>
      </w:r>
      <w:hyperlink r:id="rId21" w:history="1">
        <w:r w:rsidRPr="007F2825">
          <w:rPr>
            <w:rStyle w:val="Collegamentoipertestuale"/>
            <w:rFonts w:eastAsiaTheme="majorEastAsia"/>
            <w:color w:val="0E10A1"/>
            <w:sz w:val="20"/>
            <w:szCs w:val="20"/>
            <w:shd w:val="clear" w:color="auto" w:fill="FBFB68"/>
          </w:rPr>
          <w:t xml:space="preserve">26 febbraio 2002, </w:t>
        </w:r>
        <w:proofErr w:type="spellStart"/>
        <w:r w:rsidRPr="007F2825">
          <w:rPr>
            <w:rStyle w:val="Collegamentoipertestuale"/>
            <w:rFonts w:eastAsiaTheme="majorEastAsia"/>
            <w:color w:val="0E10A1"/>
            <w:sz w:val="20"/>
            <w:szCs w:val="20"/>
            <w:shd w:val="clear" w:color="auto" w:fill="FBFB68"/>
          </w:rPr>
          <w:t>Fretté</w:t>
        </w:r>
        <w:proofErr w:type="spellEnd"/>
        <w:r w:rsidRPr="007F2825">
          <w:rPr>
            <w:rStyle w:val="Collegamentoipertestuale"/>
            <w:rFonts w:eastAsiaTheme="majorEastAsia"/>
            <w:color w:val="0E10A1"/>
            <w:sz w:val="20"/>
            <w:szCs w:val="20"/>
            <w:shd w:val="clear" w:color="auto" w:fill="FBFB68"/>
          </w:rPr>
          <w:t xml:space="preserve"> contro Francia</w:t>
        </w:r>
      </w:hyperlink>
      <w:r w:rsidRPr="007F2825">
        <w:rPr>
          <w:color w:val="000000"/>
          <w:sz w:val="20"/>
          <w:szCs w:val="20"/>
        </w:rPr>
        <w:t>, paragrafo 29).</w:t>
      </w:r>
    </w:p>
    <w:p w14:paraId="50560D2D"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Per converso, esso trova riconoscimento sia nell’art. 2 Cost. (sentenze</w:t>
      </w:r>
      <w:r w:rsidRPr="007F2825">
        <w:rPr>
          <w:rStyle w:val="apple-converted-space"/>
          <w:rFonts w:eastAsiaTheme="majorEastAsia"/>
          <w:color w:val="000000"/>
          <w:sz w:val="20"/>
          <w:szCs w:val="20"/>
        </w:rPr>
        <w:t> </w:t>
      </w:r>
      <w:hyperlink r:id="rId22" w:history="1">
        <w:r w:rsidRPr="007F2825">
          <w:rPr>
            <w:rStyle w:val="Collegamentoipertestuale"/>
            <w:rFonts w:eastAsiaTheme="majorEastAsia"/>
            <w:color w:val="0E10A1"/>
            <w:sz w:val="20"/>
            <w:szCs w:val="20"/>
            <w:shd w:val="clear" w:color="auto" w:fill="FBFB68"/>
          </w:rPr>
          <w:t>n. 33 del 2025</w:t>
        </w:r>
      </w:hyperlink>
      <w:r w:rsidRPr="007F2825">
        <w:rPr>
          <w:color w:val="000000"/>
          <w:sz w:val="20"/>
          <w:szCs w:val="20"/>
        </w:rPr>
        <w:t>,</w:t>
      </w:r>
      <w:r w:rsidRPr="007F2825">
        <w:rPr>
          <w:rStyle w:val="apple-converted-space"/>
          <w:rFonts w:eastAsiaTheme="majorEastAsia"/>
          <w:color w:val="000000"/>
          <w:sz w:val="20"/>
          <w:szCs w:val="20"/>
        </w:rPr>
        <w:t> </w:t>
      </w:r>
      <w:hyperlink r:id="rId23" w:history="1">
        <w:r w:rsidRPr="007F2825">
          <w:rPr>
            <w:rStyle w:val="Collegamentoipertestuale"/>
            <w:rFonts w:eastAsiaTheme="majorEastAsia"/>
            <w:color w:val="0E10A1"/>
            <w:sz w:val="20"/>
            <w:szCs w:val="20"/>
            <w:shd w:val="clear" w:color="auto" w:fill="FBFB68"/>
          </w:rPr>
          <w:t>n. 161 del 2023</w:t>
        </w:r>
      </w:hyperlink>
      <w:r w:rsidRPr="007F2825">
        <w:rPr>
          <w:color w:val="000000"/>
          <w:sz w:val="20"/>
          <w:szCs w:val="20"/>
        </w:rPr>
        <w:t>,</w:t>
      </w:r>
      <w:r w:rsidRPr="007F2825">
        <w:rPr>
          <w:rStyle w:val="apple-converted-space"/>
          <w:rFonts w:eastAsiaTheme="majorEastAsia"/>
          <w:color w:val="000000"/>
          <w:sz w:val="20"/>
          <w:szCs w:val="20"/>
        </w:rPr>
        <w:t> </w:t>
      </w:r>
      <w:hyperlink r:id="rId24" w:history="1">
        <w:r w:rsidRPr="007F2825">
          <w:rPr>
            <w:rStyle w:val="Collegamentoipertestuale"/>
            <w:rFonts w:eastAsiaTheme="majorEastAsia"/>
            <w:color w:val="0E10A1"/>
            <w:sz w:val="20"/>
            <w:szCs w:val="20"/>
            <w:shd w:val="clear" w:color="auto" w:fill="FBFB68"/>
          </w:rPr>
          <w:t>n. 221 del 2019</w:t>
        </w:r>
      </w:hyperlink>
      <w:r w:rsidRPr="007F2825">
        <w:rPr>
          <w:rStyle w:val="apple-converted-space"/>
          <w:rFonts w:eastAsiaTheme="majorEastAsia"/>
          <w:color w:val="000000"/>
          <w:sz w:val="20"/>
          <w:szCs w:val="20"/>
        </w:rPr>
        <w:t> </w:t>
      </w:r>
      <w:r w:rsidRPr="007F2825">
        <w:rPr>
          <w:color w:val="000000"/>
          <w:sz w:val="20"/>
          <w:szCs w:val="20"/>
        </w:rPr>
        <w:t>e</w:t>
      </w:r>
      <w:r w:rsidRPr="007F2825">
        <w:rPr>
          <w:rStyle w:val="apple-converted-space"/>
          <w:rFonts w:eastAsiaTheme="majorEastAsia"/>
          <w:color w:val="000000"/>
          <w:sz w:val="20"/>
          <w:szCs w:val="20"/>
        </w:rPr>
        <w:t> </w:t>
      </w:r>
      <w:hyperlink r:id="rId25" w:history="1">
        <w:r w:rsidRPr="007F2825">
          <w:rPr>
            <w:rStyle w:val="Collegamentoipertestuale"/>
            <w:rFonts w:eastAsiaTheme="majorEastAsia"/>
            <w:color w:val="0E10A1"/>
            <w:sz w:val="20"/>
            <w:szCs w:val="20"/>
            <w:shd w:val="clear" w:color="auto" w:fill="FBFB68"/>
          </w:rPr>
          <w:t>n. 162 del 2014</w:t>
        </w:r>
      </w:hyperlink>
      <w:r w:rsidRPr="007F2825">
        <w:rPr>
          <w:color w:val="000000"/>
          <w:sz w:val="20"/>
          <w:szCs w:val="20"/>
        </w:rPr>
        <w:t xml:space="preserve">) sia nell’art. 117, primo comma, Cost., in relazione all’art. 8 CEDU, quale interesse a realizzare la propria personalità in una dimensione relazionale che, in quanto tale, deve essere permeabile alla tutela degli altri interessi </w:t>
      </w:r>
      <w:r w:rsidRPr="007F2825">
        <w:rPr>
          <w:color w:val="000000"/>
          <w:sz w:val="20"/>
          <w:szCs w:val="20"/>
        </w:rPr>
        <w:lastRenderedPageBreak/>
        <w:t>implicati nella medesima relazione (Corte EDU, sentenze</w:t>
      </w:r>
      <w:r w:rsidRPr="007F2825">
        <w:rPr>
          <w:rStyle w:val="apple-converted-space"/>
          <w:rFonts w:eastAsiaTheme="majorEastAsia"/>
          <w:color w:val="000000"/>
          <w:sz w:val="20"/>
          <w:szCs w:val="20"/>
        </w:rPr>
        <w:t> </w:t>
      </w:r>
      <w:hyperlink r:id="rId26" w:history="1">
        <w:r w:rsidRPr="007F2825">
          <w:rPr>
            <w:rStyle w:val="Collegamentoipertestuale"/>
            <w:rFonts w:eastAsiaTheme="majorEastAsia"/>
            <w:color w:val="0E10A1"/>
            <w:sz w:val="20"/>
            <w:szCs w:val="20"/>
            <w:shd w:val="clear" w:color="auto" w:fill="FBFB68"/>
          </w:rPr>
          <w:t>27 maggio 2021, Jessica Marchi contro Italia</w:t>
        </w:r>
      </w:hyperlink>
      <w:r w:rsidRPr="007F2825">
        <w:rPr>
          <w:color w:val="000000"/>
          <w:sz w:val="20"/>
          <w:szCs w:val="20"/>
        </w:rPr>
        <w:t>, paragrafo 60;</w:t>
      </w:r>
      <w:r w:rsidRPr="007F2825">
        <w:rPr>
          <w:rStyle w:val="apple-converted-space"/>
          <w:rFonts w:eastAsiaTheme="majorEastAsia"/>
          <w:color w:val="000000"/>
          <w:sz w:val="20"/>
          <w:szCs w:val="20"/>
        </w:rPr>
        <w:t> </w:t>
      </w:r>
      <w:hyperlink r:id="rId27" w:history="1">
        <w:r w:rsidRPr="007F2825">
          <w:rPr>
            <w:rStyle w:val="Collegamentoipertestuale"/>
            <w:rFonts w:eastAsiaTheme="majorEastAsia"/>
            <w:color w:val="0E10A1"/>
            <w:sz w:val="20"/>
            <w:szCs w:val="20"/>
            <w:shd w:val="clear" w:color="auto" w:fill="FBFB68"/>
          </w:rPr>
          <w:t xml:space="preserve">17 aprile 2018, </w:t>
        </w:r>
        <w:proofErr w:type="spellStart"/>
        <w:r w:rsidRPr="007F2825">
          <w:rPr>
            <w:rStyle w:val="Collegamentoipertestuale"/>
            <w:rFonts w:eastAsiaTheme="majorEastAsia"/>
            <w:color w:val="0E10A1"/>
            <w:sz w:val="20"/>
            <w:szCs w:val="20"/>
            <w:shd w:val="clear" w:color="auto" w:fill="FBFB68"/>
          </w:rPr>
          <w:t>Lazoriva</w:t>
        </w:r>
        <w:proofErr w:type="spellEnd"/>
        <w:r w:rsidRPr="007F2825">
          <w:rPr>
            <w:rStyle w:val="Collegamentoipertestuale"/>
            <w:rFonts w:eastAsiaTheme="majorEastAsia"/>
            <w:color w:val="0E10A1"/>
            <w:sz w:val="20"/>
            <w:szCs w:val="20"/>
            <w:shd w:val="clear" w:color="auto" w:fill="FBFB68"/>
          </w:rPr>
          <w:t xml:space="preserve"> contro Ucraina</w:t>
        </w:r>
      </w:hyperlink>
      <w:r w:rsidRPr="007F2825">
        <w:rPr>
          <w:color w:val="000000"/>
          <w:sz w:val="20"/>
          <w:szCs w:val="20"/>
        </w:rPr>
        <w:t>, paragrafo 66;</w:t>
      </w:r>
      <w:r w:rsidRPr="007F2825">
        <w:rPr>
          <w:rStyle w:val="apple-converted-space"/>
          <w:rFonts w:eastAsiaTheme="majorEastAsia"/>
          <w:color w:val="000000"/>
          <w:sz w:val="20"/>
          <w:szCs w:val="20"/>
        </w:rPr>
        <w:t> </w:t>
      </w:r>
      <w:hyperlink r:id="rId28" w:history="1">
        <w:r w:rsidRPr="007F2825">
          <w:rPr>
            <w:rStyle w:val="Collegamentoipertestuale"/>
            <w:rFonts w:eastAsiaTheme="majorEastAsia"/>
            <w:color w:val="0E10A1"/>
            <w:sz w:val="20"/>
            <w:szCs w:val="20"/>
            <w:shd w:val="clear" w:color="auto" w:fill="FBFB68"/>
          </w:rPr>
          <w:t xml:space="preserve">16 gennaio 2018, </w:t>
        </w:r>
        <w:proofErr w:type="spellStart"/>
        <w:r w:rsidRPr="007F2825">
          <w:rPr>
            <w:rStyle w:val="Collegamentoipertestuale"/>
            <w:rFonts w:eastAsiaTheme="majorEastAsia"/>
            <w:color w:val="0E10A1"/>
            <w:sz w:val="20"/>
            <w:szCs w:val="20"/>
            <w:shd w:val="clear" w:color="auto" w:fill="FBFB68"/>
          </w:rPr>
          <w:t>Nedescu</w:t>
        </w:r>
        <w:proofErr w:type="spellEnd"/>
        <w:r w:rsidRPr="007F2825">
          <w:rPr>
            <w:rStyle w:val="Collegamentoipertestuale"/>
            <w:rFonts w:eastAsiaTheme="majorEastAsia"/>
            <w:color w:val="0E10A1"/>
            <w:sz w:val="20"/>
            <w:szCs w:val="20"/>
            <w:shd w:val="clear" w:color="auto" w:fill="FBFB68"/>
          </w:rPr>
          <w:t xml:space="preserve"> contro Romania</w:t>
        </w:r>
      </w:hyperlink>
      <w:r w:rsidRPr="007F2825">
        <w:rPr>
          <w:color w:val="000000"/>
          <w:sz w:val="20"/>
          <w:szCs w:val="20"/>
        </w:rPr>
        <w:t>, paragrafo 66;</w:t>
      </w:r>
      <w:r w:rsidRPr="007F2825">
        <w:rPr>
          <w:rStyle w:val="apple-converted-space"/>
          <w:rFonts w:eastAsiaTheme="majorEastAsia"/>
          <w:color w:val="000000"/>
          <w:sz w:val="20"/>
          <w:szCs w:val="20"/>
        </w:rPr>
        <w:t> </w:t>
      </w:r>
      <w:hyperlink r:id="rId29" w:history="1">
        <w:r w:rsidRPr="007F2825">
          <w:rPr>
            <w:rStyle w:val="Collegamentoipertestuale"/>
            <w:rFonts w:eastAsiaTheme="majorEastAsia"/>
            <w:color w:val="0E10A1"/>
            <w:sz w:val="20"/>
            <w:szCs w:val="20"/>
            <w:shd w:val="clear" w:color="auto" w:fill="FBFB68"/>
          </w:rPr>
          <w:t>24 gennaio 2017, Paradiso e Campanelli contro Italia</w:t>
        </w:r>
      </w:hyperlink>
      <w:r w:rsidRPr="007F2825">
        <w:rPr>
          <w:color w:val="000000"/>
          <w:sz w:val="20"/>
          <w:szCs w:val="20"/>
        </w:rPr>
        <w:t>, paragrafi 159, 161-165;</w:t>
      </w:r>
      <w:r w:rsidRPr="007F2825">
        <w:rPr>
          <w:rStyle w:val="apple-converted-space"/>
          <w:rFonts w:eastAsiaTheme="majorEastAsia"/>
          <w:color w:val="000000"/>
          <w:sz w:val="20"/>
          <w:szCs w:val="20"/>
        </w:rPr>
        <w:t> </w:t>
      </w:r>
      <w:hyperlink r:id="rId30" w:history="1">
        <w:r w:rsidRPr="007F2825">
          <w:rPr>
            <w:rStyle w:val="Collegamentoipertestuale"/>
            <w:rFonts w:eastAsiaTheme="majorEastAsia"/>
            <w:color w:val="0E10A1"/>
            <w:sz w:val="20"/>
            <w:szCs w:val="20"/>
            <w:shd w:val="clear" w:color="auto" w:fill="FBFB68"/>
          </w:rPr>
          <w:t>16 dicembre 2010, A, B e C contro Irlanda</w:t>
        </w:r>
      </w:hyperlink>
      <w:r w:rsidRPr="007F2825">
        <w:rPr>
          <w:color w:val="000000"/>
          <w:sz w:val="20"/>
          <w:szCs w:val="20"/>
        </w:rPr>
        <w:t>, paragrafo 212;</w:t>
      </w:r>
      <w:r w:rsidRPr="007F2825">
        <w:rPr>
          <w:rStyle w:val="apple-converted-space"/>
          <w:rFonts w:eastAsiaTheme="majorEastAsia"/>
          <w:color w:val="000000"/>
          <w:sz w:val="20"/>
          <w:szCs w:val="20"/>
        </w:rPr>
        <w:t> </w:t>
      </w:r>
      <w:hyperlink r:id="rId31" w:history="1">
        <w:r w:rsidRPr="007F2825">
          <w:rPr>
            <w:rStyle w:val="Collegamentoipertestuale"/>
            <w:rFonts w:eastAsiaTheme="majorEastAsia"/>
            <w:color w:val="0E10A1"/>
            <w:sz w:val="20"/>
            <w:szCs w:val="20"/>
            <w:shd w:val="clear" w:color="auto" w:fill="FBFB68"/>
          </w:rPr>
          <w:t>grande camera, 10 aprile 2007, Evans contro Regno Unito</w:t>
        </w:r>
      </w:hyperlink>
      <w:r w:rsidRPr="007F2825">
        <w:rPr>
          <w:color w:val="000000"/>
          <w:sz w:val="20"/>
          <w:szCs w:val="20"/>
        </w:rPr>
        <w:t>, paragrafo 71).</w:t>
      </w:r>
    </w:p>
    <w:p w14:paraId="10444F8B"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L’autodeterminazione orientata alla genitorialità in tanto può far valere la propria vis espansiva, in quanto o tende a contrastare soluzioni «che, avendo riguardo al complesso degli interessi implicati, risultino irragionevoli e non proporzionate rispetto all’obiettivo perseguito (</w:t>
      </w:r>
      <w:hyperlink r:id="rId32" w:history="1">
        <w:r w:rsidRPr="007F2825">
          <w:rPr>
            <w:rStyle w:val="Collegamentoipertestuale"/>
            <w:rFonts w:eastAsiaTheme="majorEastAsia"/>
            <w:color w:val="0E10A1"/>
            <w:sz w:val="20"/>
            <w:szCs w:val="20"/>
            <w:shd w:val="clear" w:color="auto" w:fill="FBFB68"/>
          </w:rPr>
          <w:t>sentenza n. 221 del 2019</w:t>
        </w:r>
      </w:hyperlink>
      <w:r w:rsidRPr="007F2825">
        <w:rPr>
          <w:color w:val="000000"/>
          <w:sz w:val="20"/>
          <w:szCs w:val="20"/>
        </w:rPr>
        <w:t>)» (</w:t>
      </w:r>
      <w:hyperlink r:id="rId33" w:history="1">
        <w:r w:rsidRPr="007F2825">
          <w:rPr>
            <w:rStyle w:val="Collegamentoipertestuale"/>
            <w:rFonts w:eastAsiaTheme="majorEastAsia"/>
            <w:color w:val="0E10A1"/>
            <w:sz w:val="20"/>
            <w:szCs w:val="20"/>
            <w:shd w:val="clear" w:color="auto" w:fill="FBFB68"/>
          </w:rPr>
          <w:t>sentenza n. 33 del 2025</w:t>
        </w:r>
      </w:hyperlink>
      <w:r w:rsidRPr="007F2825">
        <w:rPr>
          <w:color w:val="000000"/>
          <w:sz w:val="20"/>
          <w:szCs w:val="20"/>
        </w:rPr>
        <w:t>) o contribuisce a sostenere un giudizio di irragionevolezza delle stesse norme che riflettono le finalità cui si ispira il legislatore, nella considerazione di tutti gli interessi coinvolti.</w:t>
      </w:r>
    </w:p>
    <w:p w14:paraId="27AC32F5"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 xml:space="preserve">10.2.– Ebbene, </w:t>
      </w:r>
      <w:r w:rsidRPr="00087494">
        <w:rPr>
          <w:color w:val="EE0000"/>
          <w:sz w:val="20"/>
          <w:szCs w:val="20"/>
        </w:rPr>
        <w:t>la scelta del legislatore di non avallare un progetto genitoriale che conduce al concepimento di un figlio in un contesto che, almeno a priori, implica l’esclusione della figura del padre è tuttora riconducibile al principio di precauzione nell’interesse dei futuri nati.</w:t>
      </w:r>
      <w:r w:rsidRPr="007F2825">
        <w:rPr>
          <w:color w:val="000000"/>
          <w:sz w:val="20"/>
          <w:szCs w:val="20"/>
        </w:rPr>
        <w:t xml:space="preserve"> Pertanto, </w:t>
      </w:r>
      <w:r w:rsidRPr="00087494">
        <w:rPr>
          <w:color w:val="EE0000"/>
          <w:sz w:val="20"/>
          <w:szCs w:val="20"/>
        </w:rPr>
        <w:t>rispetto all’esigenza di tutelare questi ultimi, la conseguente compressione dell’autodeterminazione procreativa della donna singola non può, nell’attuale complessivo quadro normativo, ritenersi manifestamente irragionevole e sproporzionata.</w:t>
      </w:r>
    </w:p>
    <w:p w14:paraId="142BA1F8"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In senso contrario non vale evocare la soluzione di recente adottata da questa Corte, a fronte della richiesta di una donna di procedere all’impianto di un embrione crioconservato, quando medio tempore sia venuto meno il legame affettivo con il padre, il quale chieda di poter revocare il proprio consenso (</w:t>
      </w:r>
      <w:hyperlink r:id="rId34" w:history="1">
        <w:r w:rsidRPr="007F2825">
          <w:rPr>
            <w:rStyle w:val="Collegamentoipertestuale"/>
            <w:rFonts w:eastAsiaTheme="majorEastAsia"/>
            <w:color w:val="0E10A1"/>
            <w:sz w:val="20"/>
            <w:szCs w:val="20"/>
            <w:shd w:val="clear" w:color="auto" w:fill="FBFB68"/>
          </w:rPr>
          <w:t>sentenza n. 161 del 2023</w:t>
        </w:r>
      </w:hyperlink>
      <w:r w:rsidRPr="007F2825">
        <w:rPr>
          <w:color w:val="000000"/>
          <w:sz w:val="20"/>
          <w:szCs w:val="20"/>
        </w:rPr>
        <w:t>).</w:t>
      </w:r>
    </w:p>
    <w:p w14:paraId="68F16D13"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L’assetto di interessi che si delinea nell’accesso alle tecniche di PMA non è, infatti, sovrapponibile a quello che emerge nello svolgimento della pratica giunta oramai all’avvenuta fecondazione dell’embrione.</w:t>
      </w:r>
    </w:p>
    <w:p w14:paraId="10F264C5"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Anzitutto, in quest’ultimo caso, la norma che consente di addivenire all’impianto, reputando irrevocabile il consenso paterno, non sacrifica l’interesse in fieri del minore ad avere le tutele giuridiche che discendono dalla paternità. Inoltre, essa non risponde alla pura autodeterminazione della donna, poiché il consenso di quest’ultima all’impianto porta a compimento una procedura in ragione della quale ella stessa si è esposta a un rischio per la propria salute e in virtù della quale, essendo stato già formato l’embrione – che «ha in sé il principio della vita» e, come tale, è attratto nell’ampio abbraccio dell’art. 2 Cost. (</w:t>
      </w:r>
      <w:hyperlink r:id="rId35" w:history="1">
        <w:r w:rsidRPr="007F2825">
          <w:rPr>
            <w:rStyle w:val="Collegamentoipertestuale"/>
            <w:rFonts w:eastAsiaTheme="majorEastAsia"/>
            <w:color w:val="0E10A1"/>
            <w:sz w:val="20"/>
            <w:szCs w:val="20"/>
            <w:shd w:val="clear" w:color="auto" w:fill="FBFB68"/>
          </w:rPr>
          <w:t>sentenze n. 161 del 2023</w:t>
        </w:r>
      </w:hyperlink>
      <w:r w:rsidRPr="007F2825">
        <w:rPr>
          <w:color w:val="000000"/>
          <w:sz w:val="20"/>
          <w:szCs w:val="20"/>
        </w:rPr>
        <w:t>,</w:t>
      </w:r>
      <w:r w:rsidRPr="007F2825">
        <w:rPr>
          <w:rStyle w:val="apple-converted-space"/>
          <w:rFonts w:eastAsiaTheme="majorEastAsia"/>
          <w:color w:val="000000"/>
          <w:sz w:val="20"/>
          <w:szCs w:val="20"/>
        </w:rPr>
        <w:t> </w:t>
      </w:r>
      <w:hyperlink r:id="rId36" w:history="1">
        <w:r w:rsidRPr="007F2825">
          <w:rPr>
            <w:rStyle w:val="Collegamentoipertestuale"/>
            <w:rFonts w:eastAsiaTheme="majorEastAsia"/>
            <w:color w:val="0E10A1"/>
            <w:sz w:val="20"/>
            <w:szCs w:val="20"/>
            <w:shd w:val="clear" w:color="auto" w:fill="FBFB68"/>
          </w:rPr>
          <w:t>n. 84 del 2016</w:t>
        </w:r>
      </w:hyperlink>
      <w:r w:rsidRPr="007F2825">
        <w:rPr>
          <w:rStyle w:val="apple-converted-space"/>
          <w:rFonts w:eastAsiaTheme="majorEastAsia"/>
          <w:color w:val="000000"/>
          <w:sz w:val="20"/>
          <w:szCs w:val="20"/>
        </w:rPr>
        <w:t> </w:t>
      </w:r>
      <w:r w:rsidRPr="007F2825">
        <w:rPr>
          <w:color w:val="000000"/>
          <w:sz w:val="20"/>
          <w:szCs w:val="20"/>
        </w:rPr>
        <w:t>e</w:t>
      </w:r>
      <w:r w:rsidRPr="007F2825">
        <w:rPr>
          <w:rStyle w:val="apple-converted-space"/>
          <w:rFonts w:eastAsiaTheme="majorEastAsia"/>
          <w:color w:val="000000"/>
          <w:sz w:val="20"/>
          <w:szCs w:val="20"/>
        </w:rPr>
        <w:t> </w:t>
      </w:r>
      <w:hyperlink r:id="rId37" w:history="1">
        <w:r w:rsidRPr="007F2825">
          <w:rPr>
            <w:rStyle w:val="Collegamentoipertestuale"/>
            <w:rFonts w:eastAsiaTheme="majorEastAsia"/>
            <w:color w:val="0E10A1"/>
            <w:sz w:val="20"/>
            <w:szCs w:val="20"/>
            <w:shd w:val="clear" w:color="auto" w:fill="FBFB68"/>
          </w:rPr>
          <w:t>n. 229 del 2015</w:t>
        </w:r>
      </w:hyperlink>
      <w:r w:rsidRPr="007F2825">
        <w:rPr>
          <w:color w:val="000000"/>
          <w:sz w:val="20"/>
          <w:szCs w:val="20"/>
        </w:rPr>
        <w:t>) – il medesimo può giungere alla nascita.</w:t>
      </w:r>
    </w:p>
    <w:p w14:paraId="3E109E80"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In definitiva, questa Corte non ritiene che il solo interesse orientato alla genitorialità della donna possa evidenziare la manifesta irragionevolezza e sproporzione di una scelta legislativa che, nel solco del principio di precauzione, si fa carico soprattutto dell’interesse dei futuri nati.</w:t>
      </w:r>
    </w:p>
    <w:p w14:paraId="1E9D728A" w14:textId="77777777" w:rsidR="008C5B29" w:rsidRPr="00532159" w:rsidRDefault="008C5B29" w:rsidP="008C5B29">
      <w:pPr>
        <w:pStyle w:val="NormaleWeb"/>
        <w:shd w:val="clear" w:color="auto" w:fill="FFFFFF"/>
        <w:adjustRightInd w:val="0"/>
        <w:snapToGrid w:val="0"/>
        <w:spacing w:before="0" w:beforeAutospacing="0" w:after="0" w:afterAutospacing="0"/>
        <w:jc w:val="both"/>
        <w:rPr>
          <w:color w:val="EE0000"/>
          <w:sz w:val="20"/>
          <w:szCs w:val="20"/>
        </w:rPr>
      </w:pPr>
      <w:r w:rsidRPr="007F2825">
        <w:rPr>
          <w:color w:val="000000"/>
          <w:sz w:val="20"/>
          <w:szCs w:val="20"/>
        </w:rPr>
        <w:t xml:space="preserve">Questo vale tanto più in un </w:t>
      </w:r>
      <w:r w:rsidRPr="00532159">
        <w:rPr>
          <w:color w:val="EE0000"/>
          <w:sz w:val="20"/>
          <w:szCs w:val="20"/>
        </w:rPr>
        <w:t>contesto giuridico come quello presente, che non sacrifica radicalmente l’interesse orientato verso la genitorialità delle persone singole.</w:t>
      </w:r>
    </w:p>
    <w:p w14:paraId="193FCA0A"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Proprio questa Corte ha di recente rimosso, con riferimento all’adozione internazionale, il divieto che impediva alle persone singole di sottoporsi al giudizio di idoneità a adottare (</w:t>
      </w:r>
      <w:hyperlink r:id="rId38" w:history="1">
        <w:r w:rsidRPr="007F2825">
          <w:rPr>
            <w:rStyle w:val="Collegamentoipertestuale"/>
            <w:rFonts w:eastAsiaTheme="majorEastAsia"/>
            <w:color w:val="0E10A1"/>
            <w:sz w:val="20"/>
            <w:szCs w:val="20"/>
            <w:shd w:val="clear" w:color="auto" w:fill="FBFB68"/>
          </w:rPr>
          <w:t>sentenza n. 33 del 2025</w:t>
        </w:r>
      </w:hyperlink>
      <w:r w:rsidRPr="007F2825">
        <w:rPr>
          <w:color w:val="000000"/>
          <w:sz w:val="20"/>
          <w:szCs w:val="20"/>
        </w:rPr>
        <w:t>).</w:t>
      </w:r>
    </w:p>
    <w:p w14:paraId="3F36940F"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Simile possibilità, offerta dall’istituto dell’adozione, non contraddice la non manifesta irragionevolezza e sproporzione delle cautele adottate dal legislatore nel caso della procreazione medicalmente assistita.</w:t>
      </w:r>
    </w:p>
    <w:p w14:paraId="2BDAE6A8" w14:textId="77777777" w:rsidR="008C5B29" w:rsidRPr="007F2825"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532159">
        <w:rPr>
          <w:color w:val="EE0000"/>
          <w:sz w:val="20"/>
          <w:szCs w:val="20"/>
        </w:rPr>
        <w:t>Nell’ipotesi dell’adozione, infatti, l’autodeterminazione delle persone singole converge verso lo stesso interesse del minore riflesso nella finalità perseguita con l’istituto adottivo</w:t>
      </w:r>
      <w:r w:rsidRPr="007F2825">
        <w:rPr>
          <w:color w:val="000000"/>
          <w:sz w:val="20"/>
          <w:szCs w:val="20"/>
        </w:rPr>
        <w:t>. A fronte di bambini e di ragazzi in stato di abbandono per i quali l’alternativa all’adozione è quella di restare in contesti non paragonabili a un ambiente familiare stabile e armonioso, il puro divieto frapposto alle persone singole è un mezzo non proporzionato a perseguire il loro miglior interesse, anche a fronte di quello alla bigenitorialità, che al più potrebbe giustificare, a favore delle coppie, un criterio di tipo preferenziale.</w:t>
      </w:r>
    </w:p>
    <w:p w14:paraId="07CF8165" w14:textId="378D24BE" w:rsidR="008C5B29" w:rsidRDefault="008C5B29" w:rsidP="008C5B29">
      <w:pPr>
        <w:pStyle w:val="NormaleWeb"/>
        <w:shd w:val="clear" w:color="auto" w:fill="FFFFFF"/>
        <w:adjustRightInd w:val="0"/>
        <w:snapToGrid w:val="0"/>
        <w:spacing w:before="0" w:beforeAutospacing="0" w:after="0" w:afterAutospacing="0"/>
        <w:jc w:val="both"/>
        <w:rPr>
          <w:color w:val="000000"/>
          <w:sz w:val="20"/>
          <w:szCs w:val="20"/>
        </w:rPr>
      </w:pPr>
      <w:r w:rsidRPr="007F2825">
        <w:rPr>
          <w:color w:val="000000"/>
          <w:sz w:val="20"/>
          <w:szCs w:val="20"/>
        </w:rPr>
        <w:t>Inoltre, nel caso dell’istituto adottivo l’interesse del minore è direttamente assicurato dall’accertamento giudiziale in concreto operato sull’idoneità dell’aspirante adottante a garantire un ambiente stabile e armonioso ed è il criterio ermeneutico che orienta tutte le fasi del procedimento</w:t>
      </w:r>
      <w:r>
        <w:rPr>
          <w:color w:val="000000"/>
          <w:sz w:val="20"/>
          <w:szCs w:val="20"/>
        </w:rPr>
        <w:t>»</w:t>
      </w:r>
      <w:r w:rsidRPr="007F2825">
        <w:rPr>
          <w:color w:val="000000"/>
          <w:sz w:val="20"/>
          <w:szCs w:val="20"/>
        </w:rPr>
        <w:t>.</w:t>
      </w:r>
    </w:p>
    <w:p w14:paraId="6C2C9EFE" w14:textId="77777777" w:rsidR="004671F7" w:rsidRDefault="004671F7"/>
    <w:sectPr w:rsidR="004671F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7F7A" w14:textId="77777777" w:rsidR="008A5828" w:rsidRDefault="008A5828" w:rsidP="008C5B29">
      <w:r>
        <w:separator/>
      </w:r>
    </w:p>
  </w:endnote>
  <w:endnote w:type="continuationSeparator" w:id="0">
    <w:p w14:paraId="4626C30E" w14:textId="77777777" w:rsidR="008A5828" w:rsidRDefault="008A5828" w:rsidP="008C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04FB" w14:textId="77777777" w:rsidR="008A5828" w:rsidRDefault="008A5828" w:rsidP="008C5B29">
      <w:r>
        <w:separator/>
      </w:r>
    </w:p>
  </w:footnote>
  <w:footnote w:type="continuationSeparator" w:id="0">
    <w:p w14:paraId="447018EC" w14:textId="77777777" w:rsidR="008A5828" w:rsidRDefault="008A5828" w:rsidP="008C5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29"/>
    <w:rsid w:val="004671F7"/>
    <w:rsid w:val="008A5828"/>
    <w:rsid w:val="008C5B29"/>
    <w:rsid w:val="00D3141B"/>
    <w:rsid w:val="00DC7456"/>
    <w:rsid w:val="00E10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1A289DB"/>
  <w15:chartTrackingRefBased/>
  <w15:docId w15:val="{FC97E100-3435-8243-8ECE-89B90416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5B29"/>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8C5B29"/>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8C5B29"/>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8C5B29"/>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8C5B29"/>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8C5B29"/>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8C5B29"/>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8C5B29"/>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8C5B29"/>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8C5B29"/>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C5B2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C5B2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C5B2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C5B2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C5B2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C5B2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C5B2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C5B2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C5B2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C5B2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8C5B2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C5B29"/>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8C5B2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C5B29"/>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8C5B29"/>
    <w:rPr>
      <w:i/>
      <w:iCs/>
      <w:color w:val="404040" w:themeColor="text1" w:themeTint="BF"/>
    </w:rPr>
  </w:style>
  <w:style w:type="paragraph" w:styleId="Paragrafoelenco">
    <w:name w:val="List Paragraph"/>
    <w:basedOn w:val="Normale"/>
    <w:uiPriority w:val="34"/>
    <w:qFormat/>
    <w:rsid w:val="008C5B29"/>
    <w:pPr>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8C5B29"/>
    <w:rPr>
      <w:i/>
      <w:iCs/>
      <w:color w:val="0F4761" w:themeColor="accent1" w:themeShade="BF"/>
    </w:rPr>
  </w:style>
  <w:style w:type="paragraph" w:styleId="Citazioneintensa">
    <w:name w:val="Intense Quote"/>
    <w:basedOn w:val="Normale"/>
    <w:next w:val="Normale"/>
    <w:link w:val="CitazioneintensaCarattere"/>
    <w:uiPriority w:val="30"/>
    <w:qFormat/>
    <w:rsid w:val="008C5B2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8C5B29"/>
    <w:rPr>
      <w:i/>
      <w:iCs/>
      <w:color w:val="0F4761" w:themeColor="accent1" w:themeShade="BF"/>
    </w:rPr>
  </w:style>
  <w:style w:type="character" w:styleId="Riferimentointenso">
    <w:name w:val="Intense Reference"/>
    <w:basedOn w:val="Carpredefinitoparagrafo"/>
    <w:uiPriority w:val="32"/>
    <w:qFormat/>
    <w:rsid w:val="008C5B29"/>
    <w:rPr>
      <w:b/>
      <w:bCs/>
      <w:smallCaps/>
      <w:color w:val="0F4761" w:themeColor="accent1" w:themeShade="BF"/>
      <w:spacing w:val="5"/>
    </w:rPr>
  </w:style>
  <w:style w:type="character" w:styleId="Rimandonotaapidipagina">
    <w:name w:val="footnote reference"/>
    <w:basedOn w:val="Carpredefinitoparagrafo"/>
    <w:uiPriority w:val="99"/>
    <w:semiHidden/>
    <w:unhideWhenUsed/>
    <w:rsid w:val="008C5B29"/>
    <w:rPr>
      <w:vertAlign w:val="superscript"/>
    </w:rPr>
  </w:style>
  <w:style w:type="character" w:styleId="Collegamentoipertestuale">
    <w:name w:val="Hyperlink"/>
    <w:uiPriority w:val="99"/>
    <w:rsid w:val="008C5B29"/>
    <w:rPr>
      <w:color w:val="000080"/>
      <w:u w:val="single"/>
    </w:rPr>
  </w:style>
  <w:style w:type="paragraph" w:styleId="NormaleWeb">
    <w:name w:val="Normal (Web)"/>
    <w:basedOn w:val="Normale"/>
    <w:uiPriority w:val="99"/>
    <w:unhideWhenUsed/>
    <w:rsid w:val="008C5B29"/>
    <w:pPr>
      <w:spacing w:before="100" w:beforeAutospacing="1" w:after="100" w:afterAutospacing="1"/>
    </w:pPr>
  </w:style>
  <w:style w:type="character" w:customStyle="1" w:styleId="apple-converted-space">
    <w:name w:val="apple-converted-space"/>
    <w:basedOn w:val="Carpredefinitoparagrafo"/>
    <w:rsid w:val="008C5B29"/>
  </w:style>
  <w:style w:type="character" w:styleId="Enfasicorsivo">
    <w:name w:val="Emphasis"/>
    <w:basedOn w:val="Carpredefinitoparagrafo"/>
    <w:uiPriority w:val="20"/>
    <w:qFormat/>
    <w:rsid w:val="008C5B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urcost.org/decisioni/2025/0033s-25.html" TargetMode="External"/><Relationship Id="rId18" Type="http://schemas.openxmlformats.org/officeDocument/2006/relationships/hyperlink" Target="https://hudoc.echr.coe.int/?i=001-170867" TargetMode="External"/><Relationship Id="rId26" Type="http://schemas.openxmlformats.org/officeDocument/2006/relationships/hyperlink" Target="https://hudoc.echr.coe.int/?i=001-210090" TargetMode="External"/><Relationship Id="rId39" Type="http://schemas.openxmlformats.org/officeDocument/2006/relationships/fontTable" Target="fontTable.xml"/><Relationship Id="rId21" Type="http://schemas.openxmlformats.org/officeDocument/2006/relationships/hyperlink" Target="https://hudoc.echr.coe.int/eng?i=001-64727" TargetMode="External"/><Relationship Id="rId34" Type="http://schemas.openxmlformats.org/officeDocument/2006/relationships/hyperlink" Target="https://giurcost.org/decisioni/2023/0161s-23.html" TargetMode="External"/><Relationship Id="rId7" Type="http://schemas.openxmlformats.org/officeDocument/2006/relationships/hyperlink" Target="https://giurcost.org/decisioni/2005/0045s-05.html" TargetMode="External"/><Relationship Id="rId12" Type="http://schemas.openxmlformats.org/officeDocument/2006/relationships/hyperlink" Target="https://giurcost.org/decisioni/2025/0068s-25.html" TargetMode="External"/><Relationship Id="rId17" Type="http://schemas.openxmlformats.org/officeDocument/2006/relationships/hyperlink" Target="https://hudoc.echr.coe.int/eng?i=001-199287" TargetMode="External"/><Relationship Id="rId25" Type="http://schemas.openxmlformats.org/officeDocument/2006/relationships/hyperlink" Target="https://giurcost.org/decisioni/2014/0162s-14.html" TargetMode="External"/><Relationship Id="rId33" Type="http://schemas.openxmlformats.org/officeDocument/2006/relationships/hyperlink" Target="https://giurcost.org/decisioni/2025/0033s-25.html" TargetMode="External"/><Relationship Id="rId38" Type="http://schemas.openxmlformats.org/officeDocument/2006/relationships/hyperlink" Target="https://giurcost.org/decisioni/2025/0033s-25.html" TargetMode="External"/><Relationship Id="rId2" Type="http://schemas.openxmlformats.org/officeDocument/2006/relationships/settings" Target="settings.xml"/><Relationship Id="rId16" Type="http://schemas.openxmlformats.org/officeDocument/2006/relationships/hyperlink" Target="https://giurcost.org/decisioni/2019/0221s-19.html" TargetMode="External"/><Relationship Id="rId20" Type="http://schemas.openxmlformats.org/officeDocument/2006/relationships/hyperlink" Target="https://hudoc.echr.coe.int/?i=001-81327" TargetMode="External"/><Relationship Id="rId29" Type="http://schemas.openxmlformats.org/officeDocument/2006/relationships/hyperlink" Target="https://hudoc.echr.coe.int/?i=001-170867" TargetMode="External"/><Relationship Id="rId1" Type="http://schemas.openxmlformats.org/officeDocument/2006/relationships/styles" Target="styles.xml"/><Relationship Id="rId6" Type="http://schemas.openxmlformats.org/officeDocument/2006/relationships/hyperlink" Target="https://giurcost.org/decisioni/2019/0221s-19.html" TargetMode="External"/><Relationship Id="rId11" Type="http://schemas.openxmlformats.org/officeDocument/2006/relationships/hyperlink" Target="https://giurcost.org/decisioni/2020/0230s-20.html" TargetMode="External"/><Relationship Id="rId24" Type="http://schemas.openxmlformats.org/officeDocument/2006/relationships/hyperlink" Target="https://giurcost.org/decisioni/2019/0221s-19.html" TargetMode="External"/><Relationship Id="rId32" Type="http://schemas.openxmlformats.org/officeDocument/2006/relationships/hyperlink" Target="https://giurcost.org/decisioni/2019/0221s-19.html" TargetMode="External"/><Relationship Id="rId37" Type="http://schemas.openxmlformats.org/officeDocument/2006/relationships/hyperlink" Target="https://giurcost.org/decisioni/2015/0229s-15.html"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giurcost.org/decisioni/2020/0230s-20.html" TargetMode="External"/><Relationship Id="rId23" Type="http://schemas.openxmlformats.org/officeDocument/2006/relationships/hyperlink" Target="https://giurcost.org/decisioni/2023/0161s-23.html" TargetMode="External"/><Relationship Id="rId28" Type="http://schemas.openxmlformats.org/officeDocument/2006/relationships/hyperlink" Target="https://hudoc.echr.coe.int/?i=001-180293" TargetMode="External"/><Relationship Id="rId36" Type="http://schemas.openxmlformats.org/officeDocument/2006/relationships/hyperlink" Target="https://giurcost.org/decisioni/2016/0084s-16.html" TargetMode="External"/><Relationship Id="rId10" Type="http://schemas.openxmlformats.org/officeDocument/2006/relationships/hyperlink" Target="https://giurcost.org/decisioni/2019/0221s-19.html" TargetMode="External"/><Relationship Id="rId19" Type="http://schemas.openxmlformats.org/officeDocument/2006/relationships/hyperlink" Target="https://hudoc.echr.coe.int/?i=001-84569" TargetMode="External"/><Relationship Id="rId31" Type="http://schemas.openxmlformats.org/officeDocument/2006/relationships/hyperlink" Target="https://hudoc.echr.coe.int/eng?i=001-80036" TargetMode="External"/><Relationship Id="rId4" Type="http://schemas.openxmlformats.org/officeDocument/2006/relationships/footnotes" Target="footnotes.xml"/><Relationship Id="rId9" Type="http://schemas.openxmlformats.org/officeDocument/2006/relationships/hyperlink" Target="https://giurcost.org/decisioni/2010/0138s-10.html" TargetMode="External"/><Relationship Id="rId14" Type="http://schemas.openxmlformats.org/officeDocument/2006/relationships/hyperlink" Target="https://giurcost.org/decisioni/2021/0033s-21.html" TargetMode="External"/><Relationship Id="rId22" Type="http://schemas.openxmlformats.org/officeDocument/2006/relationships/hyperlink" Target="https://giurcost.org/decisioni/2025/0033s-25.html" TargetMode="External"/><Relationship Id="rId27" Type="http://schemas.openxmlformats.org/officeDocument/2006/relationships/hyperlink" Target="https://hudoc.echr.coe.int/eng?i=001-182223" TargetMode="External"/><Relationship Id="rId30" Type="http://schemas.openxmlformats.org/officeDocument/2006/relationships/hyperlink" Target="https://hudoc.echr.coe.int/?i=001-102335" TargetMode="External"/><Relationship Id="rId35" Type="http://schemas.openxmlformats.org/officeDocument/2006/relationships/hyperlink" Target="https://giurcost.org/decisioni/2023/0161s-23.html" TargetMode="External"/><Relationship Id="rId8" Type="http://schemas.openxmlformats.org/officeDocument/2006/relationships/hyperlink" Target="https://giurcost.org/decisioni/2019/0221s-19.html" TargetMode="External"/><Relationship Id="rId3"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1948</Words>
  <Characters>11110</Characters>
  <Application>Microsoft Office Word</Application>
  <DocSecurity>0</DocSecurity>
  <Lines>92</Lines>
  <Paragraphs>26</Paragraphs>
  <ScaleCrop>false</ScaleCrop>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Padula Carlo</dc:creator>
  <cp:keywords/>
  <dc:description/>
  <cp:lastModifiedBy>Padula Carlo</cp:lastModifiedBy>
  <cp:revision>1</cp:revision>
  <dcterms:created xsi:type="dcterms:W3CDTF">2025-11-10T18:28:00Z</dcterms:created>
  <dcterms:modified xsi:type="dcterms:W3CDTF">2025-11-10T18:29:00Z</dcterms:modified>
</cp:coreProperties>
</file>