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0DF7D" w14:textId="7E02AFC1" w:rsidR="00EB11A0" w:rsidRPr="00EB11A0" w:rsidRDefault="00EB11A0" w:rsidP="00EB11A0">
      <w:pPr>
        <w:pStyle w:val="NormaleWeb"/>
        <w:shd w:val="clear" w:color="auto" w:fill="FFFFFF"/>
        <w:spacing w:before="0" w:beforeAutospacing="0" w:after="150" w:afterAutospacing="0"/>
        <w:ind w:firstLine="300"/>
        <w:jc w:val="both"/>
        <w:rPr>
          <w:rFonts w:ascii="Lato" w:hAnsi="Lato"/>
          <w:b/>
          <w:bCs/>
          <w:color w:val="000000"/>
          <w:sz w:val="23"/>
          <w:szCs w:val="23"/>
        </w:rPr>
      </w:pPr>
      <w:r w:rsidRPr="00EB11A0">
        <w:rPr>
          <w:rFonts w:ascii="Lato" w:hAnsi="Lato"/>
          <w:b/>
          <w:bCs/>
          <w:color w:val="000000"/>
          <w:sz w:val="23"/>
          <w:szCs w:val="23"/>
        </w:rPr>
        <w:t>Sent. 50/2022</w:t>
      </w:r>
    </w:p>
    <w:p w14:paraId="1FE8C3EB" w14:textId="76163D76" w:rsidR="00EB11A0" w:rsidRDefault="00EB11A0" w:rsidP="00EB11A0">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3.2.– Il quesito referendario in esame è costruito con la cosiddetta </w:t>
      </w:r>
      <w:r w:rsidRPr="00150F87">
        <w:rPr>
          <w:rFonts w:ascii="Lato" w:hAnsi="Lato"/>
          <w:b/>
          <w:bCs/>
          <w:color w:val="000000"/>
          <w:sz w:val="23"/>
          <w:szCs w:val="23"/>
        </w:rPr>
        <w:t>tecnica del ritaglio</w:t>
      </w:r>
      <w:r>
        <w:rPr>
          <w:rFonts w:ascii="Lato" w:hAnsi="Lato"/>
          <w:color w:val="000000"/>
          <w:sz w:val="23"/>
          <w:szCs w:val="23"/>
        </w:rPr>
        <w:t xml:space="preserve">, ossia chiedendo l’abrogazione di frammenti lessicali della disposizione attinta, in modo da provocare la saldatura dei brani linguistici che permangono. Agli elettori viene, infatti, chiesto se vogliano una abrogazione parziale della norma incriminatrice che investa il primo comma dell’art. 579 cod. </w:t>
      </w:r>
      <w:proofErr w:type="spellStart"/>
      <w:r>
        <w:rPr>
          <w:rFonts w:ascii="Lato" w:hAnsi="Lato"/>
          <w:color w:val="000000"/>
          <w:sz w:val="23"/>
          <w:szCs w:val="23"/>
        </w:rPr>
        <w:t>pen</w:t>
      </w:r>
      <w:proofErr w:type="spellEnd"/>
      <w:r>
        <w:rPr>
          <w:rFonts w:ascii="Lato" w:hAnsi="Lato"/>
          <w:color w:val="000000"/>
          <w:sz w:val="23"/>
          <w:szCs w:val="23"/>
        </w:rPr>
        <w:t>., limitatamente alle parole «la reclusione da sei a quindici anni»; l’intero secondo comma; il terzo comma, limitatamente alle parole «Si applicano».</w:t>
      </w:r>
    </w:p>
    <w:p w14:paraId="3FB0DA46" w14:textId="77777777" w:rsidR="00EB11A0" w:rsidRDefault="00EB11A0" w:rsidP="00EB11A0">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Per </w:t>
      </w:r>
      <w:r w:rsidRPr="00150F87">
        <w:rPr>
          <w:rFonts w:ascii="Lato" w:hAnsi="Lato"/>
          <w:b/>
          <w:bCs/>
          <w:color w:val="000000"/>
          <w:sz w:val="23"/>
          <w:szCs w:val="23"/>
        </w:rPr>
        <w:t>effetto del ritaglio</w:t>
      </w:r>
      <w:r>
        <w:rPr>
          <w:rFonts w:ascii="Lato" w:hAnsi="Lato"/>
          <w:color w:val="000000"/>
          <w:sz w:val="23"/>
          <w:szCs w:val="23"/>
        </w:rPr>
        <w:t xml:space="preserve"> e della conseguente saldatura tra l’incipit del primo comma e la parte residua del terzo comma, la disposizione risultante dall’abrogazione stabilirebbe quanto segue: «Chiunque cagiona la morte di un uomo, col consenso di lui, è punito con le disposizioni relative all’omicidio se il fatto è commesso: 1) contro una persona minore degli anni diciotto; 2) contro una persona inferma di mente, o che si trova in condizioni di deficienza psichica, per un’altra infermità o per l’abuso di sostanze alcooliche o stupefacenti; 3) contro una persona il cui consenso sia stato dal colpevole estorto con violenza, minaccia o suggestione, ovvero carpito con inganno».</w:t>
      </w:r>
    </w:p>
    <w:p w14:paraId="7EB28957" w14:textId="77777777" w:rsidR="00EB11A0" w:rsidRDefault="00EB11A0" w:rsidP="00EB11A0">
      <w:pPr>
        <w:pStyle w:val="NormaleWeb"/>
        <w:shd w:val="clear" w:color="auto" w:fill="FFFFFF"/>
        <w:spacing w:before="0" w:beforeAutospacing="0" w:after="150" w:afterAutospacing="0"/>
        <w:ind w:firstLine="300"/>
        <w:jc w:val="both"/>
        <w:rPr>
          <w:rFonts w:ascii="Lato" w:hAnsi="Lato"/>
          <w:color w:val="000000"/>
          <w:sz w:val="23"/>
          <w:szCs w:val="23"/>
        </w:rPr>
      </w:pPr>
      <w:r w:rsidRPr="0056421F">
        <w:rPr>
          <w:rFonts w:ascii="Lato" w:hAnsi="Lato"/>
          <w:b/>
          <w:bCs/>
          <w:color w:val="000000"/>
          <w:sz w:val="23"/>
          <w:szCs w:val="23"/>
        </w:rPr>
        <w:t>Il risultato oggettivo del successo dell’iniziativa referendaria sarebbe, dunque, quello di rendere penalmente lecita l’uccisione di una persona con il consenso della stessa, fuori dai casi in cui il consenso risulti invalido per l’incapacità dell’offeso o per un vizio della sua formazione</w:t>
      </w:r>
      <w:r>
        <w:rPr>
          <w:rFonts w:ascii="Lato" w:hAnsi="Lato"/>
          <w:color w:val="000000"/>
          <w:sz w:val="23"/>
          <w:szCs w:val="23"/>
        </w:rPr>
        <w:t xml:space="preserve">. Eliminando la fattispecie meno severamente punita di omicidio consentito e limitando l’applicabilità delle disposizioni sull’omicidio comune alle sole ipotesi di invalidità del consenso dianzi indicate, il testo risultante dall’approvazione del referendum escluderebbe implicitamente, ma univocamente, a contrario </w:t>
      </w:r>
      <w:proofErr w:type="spellStart"/>
      <w:r>
        <w:rPr>
          <w:rFonts w:ascii="Lato" w:hAnsi="Lato"/>
          <w:color w:val="000000"/>
          <w:sz w:val="23"/>
          <w:szCs w:val="23"/>
        </w:rPr>
        <w:t>sensu</w:t>
      </w:r>
      <w:proofErr w:type="spellEnd"/>
      <w:r>
        <w:rPr>
          <w:rFonts w:ascii="Lato" w:hAnsi="Lato"/>
          <w:color w:val="000000"/>
          <w:sz w:val="23"/>
          <w:szCs w:val="23"/>
        </w:rPr>
        <w:t xml:space="preserve">, la rilevanza penale dell’omicidio del consenziente in tutte le altre ipotesi: sicché </w:t>
      </w:r>
      <w:r w:rsidRPr="0056421F">
        <w:rPr>
          <w:rFonts w:ascii="Lato" w:hAnsi="Lato"/>
          <w:b/>
          <w:bCs/>
          <w:color w:val="000000"/>
          <w:sz w:val="23"/>
          <w:szCs w:val="23"/>
        </w:rPr>
        <w:t>la norma verrebbe a sancire, all’inverso di quanto attualmente avviene, la piena disponibilità della vita da parte di chiunque sia in grado di prestare un valido consenso alla propria morte, senza alcun riferimento limitativo</w:t>
      </w:r>
      <w:r>
        <w:rPr>
          <w:rFonts w:ascii="Lato" w:hAnsi="Lato"/>
          <w:color w:val="000000"/>
          <w:sz w:val="23"/>
          <w:szCs w:val="23"/>
        </w:rPr>
        <w:t>.</w:t>
      </w:r>
    </w:p>
    <w:p w14:paraId="224BCD9C" w14:textId="77777777" w:rsidR="00EB11A0" w:rsidRDefault="00EB11A0" w:rsidP="00EB11A0">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L’effetto di liceizzazione dell’omicidio del consenziente oggettivamente conseguente alla vittoria del sì </w:t>
      </w:r>
      <w:r w:rsidRPr="00150F87">
        <w:rPr>
          <w:rFonts w:ascii="Lato" w:hAnsi="Lato"/>
          <w:b/>
          <w:bCs/>
          <w:color w:val="000000"/>
          <w:sz w:val="23"/>
          <w:szCs w:val="23"/>
        </w:rPr>
        <w:t>non risulterebbe affatto circoscritto alla causazione, con il suo consenso, della morte di una persona affetta da malattie gravi e irreversibili</w:t>
      </w:r>
      <w:r>
        <w:rPr>
          <w:rFonts w:ascii="Lato" w:hAnsi="Lato"/>
          <w:color w:val="000000"/>
          <w:sz w:val="23"/>
          <w:szCs w:val="23"/>
        </w:rPr>
        <w:t>.</w:t>
      </w:r>
    </w:p>
    <w:p w14:paraId="511BAF04" w14:textId="77777777" w:rsidR="00EB11A0" w:rsidRDefault="00EB11A0" w:rsidP="00EB11A0">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Alla luce della normativa di risulta, la “liberalizzazione” del fatto prescinderebbe dalle motivazioni che possono indurre a chiedere la propria morte, le quali non dovrebbero risultare necessariamente legate a un corpo prigioniero di uno stato di malattia con particolari caratteristiche, potendo connettersi anche a situazioni di disagio di natura del tutto diversa (affettiva, familiare, sociale, economica e via dicendo), sino al mero </w:t>
      </w:r>
      <w:proofErr w:type="spellStart"/>
      <w:r>
        <w:rPr>
          <w:rFonts w:ascii="Lato" w:hAnsi="Lato"/>
          <w:color w:val="000000"/>
          <w:sz w:val="23"/>
          <w:szCs w:val="23"/>
        </w:rPr>
        <w:t>taedium</w:t>
      </w:r>
      <w:proofErr w:type="spellEnd"/>
      <w:r>
        <w:rPr>
          <w:rFonts w:ascii="Lato" w:hAnsi="Lato"/>
          <w:color w:val="000000"/>
          <w:sz w:val="23"/>
          <w:szCs w:val="23"/>
        </w:rPr>
        <w:t xml:space="preserve"> vitae, ovvero pure a scelte che implichino, comunque sia, l’accettazione della propria morte per mano altrui. Egualmente irrilevanti risulterebbero la qualità del soggetto attivo (il quale potrebbe bene non identificarsi in un esercente la professione sanitaria), le ragioni da cui questo è mosso, le forme di manifestazione del consenso e i mezzi usati per provocare la morte (potendo l’agente servirsi non solo di farmaci che garantiscano una morte indolore, ma anche di armi o mezzi violenti di altro genere). Né può tacersi che tra le ipotesi di liceità rientrerebbe anche il caso del consenso prestato per errore spontaneo e non indotto da suggestione.</w:t>
      </w:r>
    </w:p>
    <w:p w14:paraId="2E160206" w14:textId="77777777" w:rsidR="00EB11A0" w:rsidRDefault="00EB11A0" w:rsidP="00EB11A0">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3.3.– Al riguardo, non può essere, infatti, condivisa la tesi sostenuta dai promotori nel presente giudizio, e ripresa anche nelle difese di alcuni degli intervenuti, stando alla quale la normativa di risulta andrebbe reinterpretata alla luce del quadro ordinamentale nel quale si inserisce: porterebbe a ritenere che, ai fini della non punibilità dell’omicidio del consenziente, il consenso dovrebbe essere espresso nelle forme previste dalla legge 22 dicembre 2017, n. 219 (Norme in materia di consenso informato e di disposizioni anticipate di trattamento) e in presenza delle condizioni alle quali questa Corte, con la citata</w:t>
      </w:r>
      <w:r>
        <w:rPr>
          <w:rStyle w:val="apple-converted-space"/>
          <w:rFonts w:ascii="Lato" w:hAnsi="Lato"/>
          <w:color w:val="000000"/>
          <w:sz w:val="23"/>
          <w:szCs w:val="23"/>
        </w:rPr>
        <w:t> </w:t>
      </w:r>
      <w:hyperlink r:id="rId4" w:history="1">
        <w:r>
          <w:rPr>
            <w:rStyle w:val="Collegamentoipertestuale"/>
            <w:rFonts w:ascii="Lato" w:hAnsi="Lato"/>
            <w:color w:val="0E10A1"/>
            <w:sz w:val="23"/>
            <w:szCs w:val="23"/>
            <w:shd w:val="clear" w:color="auto" w:fill="FBFB68"/>
          </w:rPr>
          <w:t>sentenza n. 242 del 2019</w:t>
        </w:r>
      </w:hyperlink>
      <w:r>
        <w:rPr>
          <w:rFonts w:ascii="Lato" w:hAnsi="Lato"/>
          <w:color w:val="000000"/>
          <w:sz w:val="23"/>
          <w:szCs w:val="23"/>
        </w:rPr>
        <w:t xml:space="preserve">, ha subordinato l’esclusione della punibilità per il finitimo reato di aiuto al suicidio, di cui all’art. 580 cod. </w:t>
      </w:r>
      <w:proofErr w:type="spellStart"/>
      <w:r>
        <w:rPr>
          <w:rFonts w:ascii="Lato" w:hAnsi="Lato"/>
          <w:color w:val="000000"/>
          <w:sz w:val="23"/>
          <w:szCs w:val="23"/>
        </w:rPr>
        <w:t>pen</w:t>
      </w:r>
      <w:proofErr w:type="spellEnd"/>
      <w:r>
        <w:rPr>
          <w:rFonts w:ascii="Lato" w:hAnsi="Lato"/>
          <w:color w:val="000000"/>
          <w:sz w:val="23"/>
          <w:szCs w:val="23"/>
        </w:rPr>
        <w:t xml:space="preserve">., non </w:t>
      </w:r>
      <w:r>
        <w:rPr>
          <w:rFonts w:ascii="Lato" w:hAnsi="Lato"/>
          <w:color w:val="000000"/>
          <w:sz w:val="23"/>
          <w:szCs w:val="23"/>
        </w:rPr>
        <w:lastRenderedPageBreak/>
        <w:t>attinto dal quesito referendario (di modo che il consenziente dovrebbe identificarsi in una persona affetta da una patologia irreversibile, fonte di sofferenze fisiche o psicologiche per lei assolutamente intollerabili, e tenuta in vita a mezzo di trattamenti di sostegno vitale, ma capace di prendere decisioni libere e consapevoli).</w:t>
      </w:r>
    </w:p>
    <w:p w14:paraId="1D58644B" w14:textId="77777777" w:rsidR="00EB11A0" w:rsidRDefault="00EB11A0" w:rsidP="00EB11A0">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A fronte della limitazione della rilevanza penale dell’omicidio del consenziente alle sole ipotesi espressamente indicate dall’attuale terzo comma dell’art. 579 cod. </w:t>
      </w:r>
      <w:proofErr w:type="spellStart"/>
      <w:r>
        <w:rPr>
          <w:rFonts w:ascii="Lato" w:hAnsi="Lato"/>
          <w:color w:val="000000"/>
          <w:sz w:val="23"/>
          <w:szCs w:val="23"/>
        </w:rPr>
        <w:t>pen</w:t>
      </w:r>
      <w:proofErr w:type="spellEnd"/>
      <w:r>
        <w:rPr>
          <w:rFonts w:ascii="Lato" w:hAnsi="Lato"/>
          <w:color w:val="000000"/>
          <w:sz w:val="23"/>
          <w:szCs w:val="23"/>
        </w:rPr>
        <w:t>., nulla autorizzerebbe a ritenere che l’esenzione da responsabilità resti subordinata al rispetto della “procedura medicalizzata” prefigurata dalla legge n. 219 del 2017 per l’espressione (o la revoca) del consenso a un trattamento terapeutico (o del rifiuto di esso).</w:t>
      </w:r>
    </w:p>
    <w:p w14:paraId="630C48FE" w14:textId="77777777" w:rsidR="00EB11A0" w:rsidRDefault="00EB11A0" w:rsidP="00EB11A0">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Del resto, anche l’Ufficio centrale per il referendum presso la Corte di cassazione, dopo aver proposto, con ordinanza non definitiva del 30 novembre 2021, una denominazione del quesito referendario nella quale non compariva la parola «eutanasia» – in specie, quella di «Abrogazione parziale dell’art. 579 del codice di penale (omicidio del consenziente)» –, non ha poi accolto, con l’ordinanza conclusiva del 15 dicembre 2021, la richiesta dei promotori di aggiungere a tale denominazione la frase «Disponibilità della propria vita mediante consenso libero, consapevole, informato». Ha rilevato, infatti, l’Ufficio centrale che l’integrazione proposta prospettava un bilanciamento tra i due diritti che vengono in gioco (diritto alla vita e diritto all’autodeterminazione) che non trova fondamento nella</w:t>
      </w:r>
      <w:r>
        <w:rPr>
          <w:rStyle w:val="apple-converted-space"/>
          <w:rFonts w:ascii="Lato" w:hAnsi="Lato"/>
          <w:color w:val="000000"/>
          <w:sz w:val="23"/>
          <w:szCs w:val="23"/>
        </w:rPr>
        <w:t> </w:t>
      </w:r>
      <w:hyperlink r:id="rId5" w:history="1">
        <w:r>
          <w:rPr>
            <w:rStyle w:val="Collegamentoipertestuale"/>
            <w:rFonts w:ascii="Lato" w:hAnsi="Lato"/>
            <w:color w:val="0E10A1"/>
            <w:sz w:val="23"/>
            <w:szCs w:val="23"/>
            <w:shd w:val="clear" w:color="auto" w:fill="FBFB68"/>
          </w:rPr>
          <w:t>sentenza n. 242 del 2019</w:t>
        </w:r>
      </w:hyperlink>
      <w:r>
        <w:rPr>
          <w:rStyle w:val="apple-converted-space"/>
          <w:rFonts w:ascii="Lato" w:hAnsi="Lato"/>
          <w:color w:val="000000"/>
          <w:sz w:val="23"/>
          <w:szCs w:val="23"/>
        </w:rPr>
        <w:t> </w:t>
      </w:r>
      <w:r>
        <w:rPr>
          <w:rFonts w:ascii="Lato" w:hAnsi="Lato"/>
          <w:color w:val="000000"/>
          <w:sz w:val="23"/>
          <w:szCs w:val="23"/>
        </w:rPr>
        <w:t>e non «è rispettoso dei limiti di un quesito di natura abrogativa, spingendosi piuttosto sul terreno di scelte eventualmente spettanti agli organi istituzionalmente competenti all’adozione di una disciplina organica della materia».</w:t>
      </w:r>
    </w:p>
    <w:p w14:paraId="69591781" w14:textId="77777777" w:rsidR="00EB11A0" w:rsidRDefault="00EB11A0" w:rsidP="00EB11A0">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4.– A quest’ultimo proposito, non è neppure significativo, agli odierni fini, che l’iniziativa referendaria – nata quale reazione all’inerzia del legislatore nel disciplinare la materia delle scelte di fine vita, anche dopo i ripetuti moniti provenienti da questa Corte (</w:t>
      </w:r>
      <w:hyperlink r:id="rId6" w:history="1">
        <w:r>
          <w:rPr>
            <w:rStyle w:val="Collegamentoipertestuale"/>
            <w:rFonts w:ascii="Lato" w:hAnsi="Lato"/>
            <w:color w:val="0E10A1"/>
            <w:sz w:val="23"/>
            <w:szCs w:val="23"/>
            <w:shd w:val="clear" w:color="auto" w:fill="FBFB68"/>
          </w:rPr>
          <w:t>sentenza n. 242 del 2019</w:t>
        </w:r>
      </w:hyperlink>
      <w:r>
        <w:rPr>
          <w:rStyle w:val="apple-converted-space"/>
          <w:rFonts w:ascii="Lato" w:hAnsi="Lato"/>
          <w:color w:val="000000"/>
          <w:sz w:val="23"/>
          <w:szCs w:val="23"/>
        </w:rPr>
        <w:t> </w:t>
      </w:r>
      <w:r>
        <w:rPr>
          <w:rFonts w:ascii="Lato" w:hAnsi="Lato"/>
          <w:color w:val="000000"/>
          <w:sz w:val="23"/>
          <w:szCs w:val="23"/>
        </w:rPr>
        <w:t>e</w:t>
      </w:r>
      <w:r>
        <w:rPr>
          <w:rStyle w:val="apple-converted-space"/>
          <w:rFonts w:ascii="Lato" w:hAnsi="Lato"/>
          <w:color w:val="000000"/>
          <w:sz w:val="23"/>
          <w:szCs w:val="23"/>
        </w:rPr>
        <w:t> </w:t>
      </w:r>
      <w:hyperlink r:id="rId7" w:history="1">
        <w:r>
          <w:rPr>
            <w:rStyle w:val="Collegamentoipertestuale"/>
            <w:rFonts w:ascii="Lato" w:hAnsi="Lato"/>
            <w:color w:val="0E10A1"/>
            <w:sz w:val="23"/>
            <w:szCs w:val="23"/>
            <w:shd w:val="clear" w:color="auto" w:fill="FBFB68"/>
          </w:rPr>
          <w:t>ordinanza n. 207 del 2018</w:t>
        </w:r>
      </w:hyperlink>
      <w:r>
        <w:rPr>
          <w:rFonts w:ascii="Lato" w:hAnsi="Lato"/>
          <w:color w:val="000000"/>
          <w:sz w:val="23"/>
          <w:szCs w:val="23"/>
        </w:rPr>
        <w:t>) – sia destinata, nell’idea dei promotori, a fungere da volano per il varo di una legge che riempia i vuoti lasciati dal referendum.</w:t>
      </w:r>
    </w:p>
    <w:p w14:paraId="19E7AAE6" w14:textId="77777777" w:rsidR="00EB11A0" w:rsidRDefault="00EB11A0" w:rsidP="00EB11A0">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Come precisato, infatti, da questa Corte, sono irrilevanti in sede di giudizio di ammissibilità del referendum «i propositi e gli intenti dei promotori circa la futura disciplina legislativa che potrebbe o dovrebbe eventualmente sostituire quella abrogata; né ad una richiesta referendaria abrogativa, quale è quella prevista dall’art. 75 della Costituzione, è possibile di per sé attribuire un significato ricostruttivo di una nuova e diversa disciplina. Ciò che conta è la domanda abrogativa, che va valutata nella sua portata oggettiva e nei suoi effetti diretti, per esaminare, tra l’altro, se essa abbia per avventura un contenuto non consentito perché in contrasto con la Costituzione» (</w:t>
      </w:r>
      <w:hyperlink r:id="rId8" w:history="1">
        <w:r>
          <w:rPr>
            <w:rStyle w:val="Collegamentoipertestuale"/>
            <w:rFonts w:ascii="Lato" w:hAnsi="Lato"/>
            <w:color w:val="0E10A1"/>
            <w:sz w:val="23"/>
            <w:szCs w:val="23"/>
            <w:shd w:val="clear" w:color="auto" w:fill="FBFB68"/>
          </w:rPr>
          <w:t>sentenza n. 17 del 1997</w:t>
        </w:r>
      </w:hyperlink>
      <w:r>
        <w:rPr>
          <w:rFonts w:ascii="Lato" w:hAnsi="Lato"/>
          <w:color w:val="000000"/>
          <w:sz w:val="23"/>
          <w:szCs w:val="23"/>
        </w:rPr>
        <w:t>).</w:t>
      </w:r>
    </w:p>
    <w:p w14:paraId="6793F6C5" w14:textId="77777777" w:rsidR="00EB11A0" w:rsidRPr="0056421F" w:rsidRDefault="00EB11A0" w:rsidP="00EB11A0">
      <w:pPr>
        <w:pStyle w:val="NormaleWeb"/>
        <w:shd w:val="clear" w:color="auto" w:fill="FFFFFF"/>
        <w:spacing w:before="0" w:beforeAutospacing="0" w:after="150" w:afterAutospacing="0"/>
        <w:ind w:firstLine="300"/>
        <w:jc w:val="both"/>
        <w:rPr>
          <w:rFonts w:ascii="Lato" w:hAnsi="Lato"/>
          <w:b/>
          <w:bCs/>
          <w:color w:val="000000"/>
          <w:sz w:val="23"/>
          <w:szCs w:val="23"/>
        </w:rPr>
      </w:pPr>
      <w:r>
        <w:rPr>
          <w:rFonts w:ascii="Lato" w:hAnsi="Lato"/>
          <w:color w:val="000000"/>
          <w:sz w:val="23"/>
          <w:szCs w:val="23"/>
        </w:rPr>
        <w:t xml:space="preserve">5.– Proprio questa, in effetti, è l’ipotesi che ricorre nel caso in esame, </w:t>
      </w:r>
      <w:r w:rsidRPr="0056421F">
        <w:rPr>
          <w:rFonts w:ascii="Lato" w:hAnsi="Lato"/>
          <w:b/>
          <w:bCs/>
          <w:color w:val="000000"/>
          <w:sz w:val="23"/>
          <w:szCs w:val="23"/>
        </w:rPr>
        <w:t>venendo il quesito referendario ad incidere su normativa costituzionalmente necessaria.</w:t>
      </w:r>
    </w:p>
    <w:p w14:paraId="326ECCC4" w14:textId="77777777" w:rsidR="00EB11A0" w:rsidRDefault="00EB11A0" w:rsidP="00EB11A0">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5.1.– A partire dalla</w:t>
      </w:r>
      <w:r>
        <w:rPr>
          <w:rStyle w:val="apple-converted-space"/>
          <w:rFonts w:ascii="Lato" w:hAnsi="Lato"/>
          <w:color w:val="000000"/>
          <w:sz w:val="23"/>
          <w:szCs w:val="23"/>
        </w:rPr>
        <w:t> </w:t>
      </w:r>
      <w:hyperlink r:id="rId9" w:history="1">
        <w:r>
          <w:rPr>
            <w:rStyle w:val="Collegamentoipertestuale"/>
            <w:rFonts w:ascii="Lato" w:hAnsi="Lato"/>
            <w:color w:val="0E10A1"/>
            <w:sz w:val="23"/>
            <w:szCs w:val="23"/>
            <w:shd w:val="clear" w:color="auto" w:fill="FBFB68"/>
          </w:rPr>
          <w:t>sentenza n. 16 del 1978</w:t>
        </w:r>
      </w:hyperlink>
      <w:r>
        <w:rPr>
          <w:rFonts w:ascii="Lato" w:hAnsi="Lato"/>
          <w:color w:val="000000"/>
          <w:sz w:val="23"/>
          <w:szCs w:val="23"/>
        </w:rPr>
        <w:t>, questa Corte ha costantemente affermato l’esistenza di «valori di ordine costituzionale, riferibili alle strutture od ai temi delle richieste referendarie, da tutelare escludendo i relativi referendum, al di là della lettera dell’art. 75 secondo comma Cost.». Una delle categorie allora individuate consisteva nei «referendum aventi per oggetto disposizioni legislative ordinarie a contenuto costituzionalmente vincolato, il cui nucleo normativo non possa venire alterato o privato di efficacia, senza che ne risultino lesi i corrispondenti specifici disposti della Costituzione stessa (o di altre leggi costituzionali)».</w:t>
      </w:r>
    </w:p>
    <w:p w14:paraId="5FB255F1" w14:textId="77777777" w:rsidR="00EB11A0" w:rsidRDefault="00EB11A0" w:rsidP="00EB11A0">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All’interno di questa categoria di norme legislative che non possono essere oggetto di richieste referendarie, la</w:t>
      </w:r>
      <w:r>
        <w:rPr>
          <w:rStyle w:val="apple-converted-space"/>
          <w:rFonts w:ascii="Lato" w:hAnsi="Lato"/>
          <w:color w:val="000000"/>
          <w:sz w:val="23"/>
          <w:szCs w:val="23"/>
        </w:rPr>
        <w:t> </w:t>
      </w:r>
      <w:hyperlink r:id="rId10" w:history="1">
        <w:r>
          <w:rPr>
            <w:rStyle w:val="Collegamentoipertestuale"/>
            <w:rFonts w:ascii="Lato" w:hAnsi="Lato"/>
            <w:color w:val="0E10A1"/>
            <w:sz w:val="23"/>
            <w:szCs w:val="23"/>
            <w:shd w:val="clear" w:color="auto" w:fill="FBFB68"/>
          </w:rPr>
          <w:t>sentenza n. 27 del 1987</w:t>
        </w:r>
      </w:hyperlink>
      <w:r>
        <w:rPr>
          <w:rStyle w:val="apple-converted-space"/>
          <w:rFonts w:ascii="Lato" w:hAnsi="Lato"/>
          <w:color w:val="000000"/>
          <w:sz w:val="23"/>
          <w:szCs w:val="23"/>
        </w:rPr>
        <w:t> </w:t>
      </w:r>
      <w:r>
        <w:rPr>
          <w:rFonts w:ascii="Lato" w:hAnsi="Lato"/>
          <w:color w:val="000000"/>
          <w:sz w:val="23"/>
          <w:szCs w:val="23"/>
        </w:rPr>
        <w:t xml:space="preserve">ha chiarito che debbono essere enucleate «due distinte ipotesi: innanzitutto le leggi ordinarie che contengono l’unica necessaria disciplina attuativa conforme alla norma costituzionale, di modo che la loro abrogazione si tradurrebbe in lesione di </w:t>
      </w:r>
      <w:r>
        <w:rPr>
          <w:rFonts w:ascii="Lato" w:hAnsi="Lato"/>
          <w:color w:val="000000"/>
          <w:sz w:val="23"/>
          <w:szCs w:val="23"/>
        </w:rPr>
        <w:lastRenderedPageBreak/>
        <w:t>quest’ultima (cfr.</w:t>
      </w:r>
      <w:r>
        <w:rPr>
          <w:rStyle w:val="apple-converted-space"/>
          <w:rFonts w:ascii="Lato" w:hAnsi="Lato"/>
          <w:color w:val="000000"/>
          <w:sz w:val="23"/>
          <w:szCs w:val="23"/>
        </w:rPr>
        <w:t> </w:t>
      </w:r>
      <w:hyperlink r:id="rId11" w:history="1">
        <w:r>
          <w:rPr>
            <w:rStyle w:val="Collegamentoipertestuale"/>
            <w:rFonts w:ascii="Lato" w:hAnsi="Lato"/>
            <w:color w:val="0E10A1"/>
            <w:sz w:val="23"/>
            <w:szCs w:val="23"/>
            <w:shd w:val="clear" w:color="auto" w:fill="FBFB68"/>
          </w:rPr>
          <w:t>sentenze n. 26/1981</w:t>
        </w:r>
      </w:hyperlink>
      <w:r>
        <w:rPr>
          <w:rStyle w:val="apple-converted-space"/>
          <w:rFonts w:ascii="Lato" w:hAnsi="Lato"/>
          <w:color w:val="000000"/>
          <w:sz w:val="23"/>
          <w:szCs w:val="23"/>
        </w:rPr>
        <w:t> </w:t>
      </w:r>
      <w:r>
        <w:rPr>
          <w:rFonts w:ascii="Lato" w:hAnsi="Lato"/>
          <w:color w:val="000000"/>
          <w:sz w:val="23"/>
          <w:szCs w:val="23"/>
        </w:rPr>
        <w:t>e</w:t>
      </w:r>
      <w:r>
        <w:rPr>
          <w:rStyle w:val="apple-converted-space"/>
          <w:rFonts w:ascii="Lato" w:hAnsi="Lato"/>
          <w:color w:val="000000"/>
          <w:sz w:val="23"/>
          <w:szCs w:val="23"/>
        </w:rPr>
        <w:t> </w:t>
      </w:r>
      <w:hyperlink r:id="rId12" w:history="1">
        <w:r>
          <w:rPr>
            <w:rStyle w:val="Collegamentoipertestuale"/>
            <w:rFonts w:ascii="Lato" w:hAnsi="Lato"/>
            <w:color w:val="0E10A1"/>
            <w:sz w:val="23"/>
            <w:szCs w:val="23"/>
            <w:shd w:val="clear" w:color="auto" w:fill="FBFB68"/>
          </w:rPr>
          <w:t>16/1978</w:t>
        </w:r>
      </w:hyperlink>
      <w:r>
        <w:rPr>
          <w:rFonts w:ascii="Lato" w:hAnsi="Lato"/>
          <w:color w:val="000000"/>
          <w:sz w:val="23"/>
          <w:szCs w:val="23"/>
        </w:rPr>
        <w:t xml:space="preserve">); in secondo luogo, le </w:t>
      </w:r>
      <w:r w:rsidRPr="00150F87">
        <w:rPr>
          <w:rFonts w:ascii="Lato" w:hAnsi="Lato"/>
          <w:b/>
          <w:bCs/>
          <w:color w:val="000000"/>
          <w:sz w:val="23"/>
          <w:szCs w:val="23"/>
        </w:rPr>
        <w:t>leggi ordinarie, la cui eliminazione ad opera del referendum priverebbe totalmente di efficacia un principio o un organo costituzionale “la cui esistenza è invece voluta e garantita dalla Costituzione</w:t>
      </w:r>
      <w:r>
        <w:rPr>
          <w:rFonts w:ascii="Lato" w:hAnsi="Lato"/>
          <w:color w:val="000000"/>
          <w:sz w:val="23"/>
          <w:szCs w:val="23"/>
        </w:rPr>
        <w:t xml:space="preserve"> (cfr.</w:t>
      </w:r>
      <w:r>
        <w:rPr>
          <w:rStyle w:val="apple-converted-space"/>
          <w:rFonts w:ascii="Lato" w:hAnsi="Lato"/>
          <w:color w:val="000000"/>
          <w:sz w:val="23"/>
          <w:szCs w:val="23"/>
        </w:rPr>
        <w:t> </w:t>
      </w:r>
      <w:hyperlink r:id="rId13" w:history="1">
        <w:r>
          <w:rPr>
            <w:rStyle w:val="Collegamentoipertestuale"/>
            <w:rFonts w:ascii="Lato" w:hAnsi="Lato"/>
            <w:color w:val="0E10A1"/>
            <w:sz w:val="23"/>
            <w:szCs w:val="23"/>
            <w:shd w:val="clear" w:color="auto" w:fill="FBFB68"/>
          </w:rPr>
          <w:t>sentenza n. 25/1981</w:t>
        </w:r>
      </w:hyperlink>
      <w:r>
        <w:rPr>
          <w:rFonts w:ascii="Lato" w:hAnsi="Lato"/>
          <w:color w:val="000000"/>
          <w:sz w:val="23"/>
          <w:szCs w:val="23"/>
        </w:rPr>
        <w:t>)”».</w:t>
      </w:r>
    </w:p>
    <w:p w14:paraId="5797D71D" w14:textId="77777777" w:rsidR="00EB11A0" w:rsidRDefault="00EB11A0" w:rsidP="00EB11A0">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Successivamente, la</w:t>
      </w:r>
      <w:r>
        <w:rPr>
          <w:rStyle w:val="apple-converted-space"/>
          <w:rFonts w:ascii="Lato" w:hAnsi="Lato"/>
          <w:color w:val="000000"/>
          <w:sz w:val="23"/>
          <w:szCs w:val="23"/>
        </w:rPr>
        <w:t> </w:t>
      </w:r>
      <w:hyperlink r:id="rId14" w:history="1">
        <w:r>
          <w:rPr>
            <w:rStyle w:val="Collegamentoipertestuale"/>
            <w:rFonts w:ascii="Lato" w:hAnsi="Lato"/>
            <w:color w:val="0E10A1"/>
            <w:sz w:val="23"/>
            <w:szCs w:val="23"/>
            <w:shd w:val="clear" w:color="auto" w:fill="FBFB68"/>
          </w:rPr>
          <w:t>sentenza n. 35 del 1997</w:t>
        </w:r>
      </w:hyperlink>
      <w:r>
        <w:rPr>
          <w:rStyle w:val="apple-converted-space"/>
          <w:rFonts w:ascii="Lato" w:hAnsi="Lato"/>
          <w:color w:val="000000"/>
          <w:sz w:val="23"/>
          <w:szCs w:val="23"/>
        </w:rPr>
        <w:t> </w:t>
      </w:r>
      <w:r>
        <w:rPr>
          <w:rFonts w:ascii="Lato" w:hAnsi="Lato"/>
          <w:color w:val="000000"/>
          <w:sz w:val="23"/>
          <w:szCs w:val="23"/>
        </w:rPr>
        <w:t>ha riferito quest’ultima ipotesi anche a quelle «</w:t>
      </w:r>
      <w:r w:rsidRPr="00150F87">
        <w:rPr>
          <w:rFonts w:ascii="Lato" w:hAnsi="Lato"/>
          <w:b/>
          <w:bCs/>
          <w:color w:val="000000"/>
          <w:sz w:val="23"/>
          <w:szCs w:val="23"/>
        </w:rPr>
        <w:t>leggi ordinarie la cui eliminazione determinerebbe la soppressione di una tutela minima per situazioni che tale tutela esigono secondo la Costituzione</w:t>
      </w:r>
      <w:r>
        <w:rPr>
          <w:rFonts w:ascii="Lato" w:hAnsi="Lato"/>
          <w:color w:val="000000"/>
          <w:sz w:val="23"/>
          <w:szCs w:val="23"/>
        </w:rPr>
        <w:t>», e la</w:t>
      </w:r>
      <w:r>
        <w:rPr>
          <w:rStyle w:val="apple-converted-space"/>
          <w:rFonts w:ascii="Lato" w:hAnsi="Lato"/>
          <w:color w:val="000000"/>
          <w:sz w:val="23"/>
          <w:szCs w:val="23"/>
        </w:rPr>
        <w:t> </w:t>
      </w:r>
      <w:hyperlink r:id="rId15" w:history="1">
        <w:r>
          <w:rPr>
            <w:rStyle w:val="Collegamentoipertestuale"/>
            <w:rFonts w:ascii="Lato" w:hAnsi="Lato"/>
            <w:color w:val="0E10A1"/>
            <w:sz w:val="23"/>
            <w:szCs w:val="23"/>
            <w:shd w:val="clear" w:color="auto" w:fill="FBFB68"/>
          </w:rPr>
          <w:t>sentenza n. 49 del 2000</w:t>
        </w:r>
      </w:hyperlink>
      <w:r>
        <w:rPr>
          <w:rStyle w:val="apple-converted-space"/>
          <w:rFonts w:ascii="Lato" w:hAnsi="Lato"/>
          <w:color w:val="000000"/>
          <w:sz w:val="23"/>
          <w:szCs w:val="23"/>
        </w:rPr>
        <w:t> </w:t>
      </w:r>
      <w:r>
        <w:rPr>
          <w:rFonts w:ascii="Lato" w:hAnsi="Lato"/>
          <w:color w:val="000000"/>
          <w:sz w:val="23"/>
          <w:szCs w:val="23"/>
        </w:rPr>
        <w:t>ha puntualizzato che le leggi «costituzionalmente necessarie», poiché sono «dirette a rendere effettivo un diritto fondamentale della persona, una volta venute ad esistenza possono essere dallo stesso legislatore modificate o sostituite con altra disciplina, ma non possono essere puramente e semplicemente abrogate, così da eliminare la tutela precedentemente concessa, pena la violazione diretta di quel medesimo precetto costituzionale della cui attuazione costituiscono strumento».</w:t>
      </w:r>
    </w:p>
    <w:p w14:paraId="77246832" w14:textId="77777777" w:rsidR="00EB11A0" w:rsidRDefault="00EB11A0" w:rsidP="00EB11A0">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Con la</w:t>
      </w:r>
      <w:r>
        <w:rPr>
          <w:rStyle w:val="apple-converted-space"/>
          <w:rFonts w:ascii="Lato" w:hAnsi="Lato"/>
          <w:color w:val="000000"/>
          <w:sz w:val="23"/>
          <w:szCs w:val="23"/>
        </w:rPr>
        <w:t> </w:t>
      </w:r>
      <w:hyperlink r:id="rId16" w:history="1">
        <w:r>
          <w:rPr>
            <w:rStyle w:val="Collegamentoipertestuale"/>
            <w:rFonts w:ascii="Lato" w:hAnsi="Lato"/>
            <w:color w:val="0E10A1"/>
            <w:sz w:val="23"/>
            <w:szCs w:val="23"/>
            <w:shd w:val="clear" w:color="auto" w:fill="FBFB68"/>
          </w:rPr>
          <w:t>sentenza n. 45 del 2005</w:t>
        </w:r>
      </w:hyperlink>
      <w:r>
        <w:rPr>
          <w:rFonts w:ascii="Lato" w:hAnsi="Lato"/>
          <w:color w:val="000000"/>
          <w:sz w:val="23"/>
          <w:szCs w:val="23"/>
        </w:rPr>
        <w:t>, infine, si è ulteriormente precisato, per un verso, che la natura di legge costituzionalmente necessaria può anche essere determinata dal fatto che una certa disciplina «</w:t>
      </w:r>
      <w:proofErr w:type="spellStart"/>
      <w:r>
        <w:rPr>
          <w:rFonts w:ascii="Lato" w:hAnsi="Lato"/>
          <w:color w:val="000000"/>
          <w:sz w:val="23"/>
          <w:szCs w:val="23"/>
        </w:rPr>
        <w:t>coinvolg</w:t>
      </w:r>
      <w:proofErr w:type="spellEnd"/>
      <w:r>
        <w:rPr>
          <w:rFonts w:ascii="Lato" w:hAnsi="Lato"/>
          <w:color w:val="000000"/>
          <w:sz w:val="23"/>
          <w:szCs w:val="23"/>
        </w:rPr>
        <w:t>[a] una pluralità di rilevanti interessi costituzionali, i quali, nel loro complesso, postulano quanto meno un bilanciamento tra di essi che assicuri un livello minimo di tutela legislativa», e per l’altro, che «il vincolo costituzionale può anche riferirsi solo a parti della normativa oggetto del quesito referendario o anche al fatto che una disciplina legislativa comunque sussista».</w:t>
      </w:r>
    </w:p>
    <w:p w14:paraId="4ABE3F3F" w14:textId="77777777" w:rsidR="00EB11A0" w:rsidRDefault="00EB11A0" w:rsidP="00EB11A0">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5.2.– Nel caso oggi in esame viene in considerazione un valore che si colloca in posizione apicale nell’ambito dei diritti fondamentali della persona.</w:t>
      </w:r>
    </w:p>
    <w:p w14:paraId="7F8D421A" w14:textId="77777777" w:rsidR="00EB11A0" w:rsidRDefault="00EB11A0" w:rsidP="00EB11A0">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Come questa Corte ha avuto modo di chiarire in più occasioni, il </w:t>
      </w:r>
      <w:r w:rsidRPr="0056421F">
        <w:rPr>
          <w:rFonts w:ascii="Lato" w:hAnsi="Lato"/>
          <w:b/>
          <w:bCs/>
          <w:color w:val="000000"/>
          <w:sz w:val="23"/>
          <w:szCs w:val="23"/>
        </w:rPr>
        <w:t>diritto alla vita, riconosciuto implicitamente dall’art. 2 Cost., è «da iscriversi tra i diritti inviolabili</w:t>
      </w:r>
      <w:r>
        <w:rPr>
          <w:rFonts w:ascii="Lato" w:hAnsi="Lato"/>
          <w:color w:val="000000"/>
          <w:sz w:val="23"/>
          <w:szCs w:val="23"/>
        </w:rPr>
        <w:t>, e cioè tra quei diritti che occupano nell’ordinamento una posizione, per dir così, privilegiata, in quanto appartengono – per usare l’espressione della</w:t>
      </w:r>
      <w:r>
        <w:rPr>
          <w:rStyle w:val="apple-converted-space"/>
          <w:rFonts w:ascii="Lato" w:hAnsi="Lato"/>
          <w:color w:val="000000"/>
          <w:sz w:val="23"/>
          <w:szCs w:val="23"/>
        </w:rPr>
        <w:t> </w:t>
      </w:r>
      <w:hyperlink r:id="rId17" w:history="1">
        <w:r>
          <w:rPr>
            <w:rStyle w:val="Collegamentoipertestuale"/>
            <w:rFonts w:ascii="Lato" w:hAnsi="Lato"/>
            <w:color w:val="0E10A1"/>
            <w:sz w:val="23"/>
            <w:szCs w:val="23"/>
            <w:shd w:val="clear" w:color="auto" w:fill="FBFB68"/>
          </w:rPr>
          <w:t>sentenza n. 1146 del 1988</w:t>
        </w:r>
      </w:hyperlink>
      <w:r>
        <w:rPr>
          <w:rStyle w:val="apple-converted-space"/>
          <w:rFonts w:ascii="Lato" w:hAnsi="Lato"/>
          <w:color w:val="000000"/>
          <w:sz w:val="23"/>
          <w:szCs w:val="23"/>
        </w:rPr>
        <w:t> </w:t>
      </w:r>
      <w:r>
        <w:rPr>
          <w:rFonts w:ascii="Lato" w:hAnsi="Lato"/>
          <w:color w:val="000000"/>
          <w:sz w:val="23"/>
          <w:szCs w:val="23"/>
        </w:rPr>
        <w:t>– “all’essenza dei valori supremi sui quali si fonda la Costituzione italiana”» (</w:t>
      </w:r>
      <w:hyperlink r:id="rId18" w:history="1">
        <w:r>
          <w:rPr>
            <w:rStyle w:val="Collegamentoipertestuale"/>
            <w:rFonts w:ascii="Lato" w:hAnsi="Lato"/>
            <w:color w:val="0E10A1"/>
            <w:sz w:val="23"/>
            <w:szCs w:val="23"/>
            <w:shd w:val="clear" w:color="auto" w:fill="FBFB68"/>
          </w:rPr>
          <w:t>sentenza n. 35 del 1997</w:t>
        </w:r>
      </w:hyperlink>
      <w:r>
        <w:rPr>
          <w:rFonts w:ascii="Lato" w:hAnsi="Lato"/>
          <w:color w:val="000000"/>
          <w:sz w:val="23"/>
          <w:szCs w:val="23"/>
        </w:rPr>
        <w:t>). Esso «concorre a costituire la matrice prima di ogni altro diritto, costituzionalmente protetto, della persona» (</w:t>
      </w:r>
      <w:hyperlink r:id="rId19" w:history="1">
        <w:r>
          <w:rPr>
            <w:rStyle w:val="Collegamentoipertestuale"/>
            <w:rFonts w:ascii="Lato" w:hAnsi="Lato"/>
            <w:color w:val="0E10A1"/>
            <w:sz w:val="23"/>
            <w:szCs w:val="23"/>
            <w:shd w:val="clear" w:color="auto" w:fill="FBFB68"/>
          </w:rPr>
          <w:t>sentenza n. 238 del 1996</w:t>
        </w:r>
      </w:hyperlink>
      <w:r>
        <w:rPr>
          <w:rFonts w:ascii="Lato" w:hAnsi="Lato"/>
          <w:color w:val="000000"/>
          <w:sz w:val="23"/>
          <w:szCs w:val="23"/>
        </w:rPr>
        <w:t>).</w:t>
      </w:r>
    </w:p>
    <w:p w14:paraId="692DE710" w14:textId="77777777" w:rsidR="00EB11A0" w:rsidRDefault="00EB11A0" w:rsidP="00EB11A0">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Posizione, questa, confermata da ultimo, proprio per la tematica delle scelte di fine vita, nell’</w:t>
      </w:r>
      <w:hyperlink r:id="rId20" w:history="1">
        <w:r>
          <w:rPr>
            <w:rStyle w:val="Collegamentoipertestuale"/>
            <w:rFonts w:ascii="Lato" w:hAnsi="Lato"/>
            <w:color w:val="0E10A1"/>
            <w:sz w:val="23"/>
            <w:szCs w:val="23"/>
            <w:shd w:val="clear" w:color="auto" w:fill="FBFB68"/>
          </w:rPr>
          <w:t>ordinanza n. 207 del 2018</w:t>
        </w:r>
      </w:hyperlink>
      <w:r>
        <w:rPr>
          <w:rStyle w:val="apple-converted-space"/>
          <w:rFonts w:ascii="Lato" w:hAnsi="Lato"/>
          <w:color w:val="000000"/>
          <w:sz w:val="23"/>
          <w:szCs w:val="23"/>
        </w:rPr>
        <w:t> </w:t>
      </w:r>
      <w:r>
        <w:rPr>
          <w:rFonts w:ascii="Lato" w:hAnsi="Lato"/>
          <w:color w:val="000000"/>
          <w:sz w:val="23"/>
          <w:szCs w:val="23"/>
        </w:rPr>
        <w:t>e nella</w:t>
      </w:r>
      <w:r>
        <w:rPr>
          <w:rStyle w:val="apple-converted-space"/>
          <w:rFonts w:ascii="Lato" w:hAnsi="Lato"/>
          <w:color w:val="000000"/>
          <w:sz w:val="23"/>
          <w:szCs w:val="23"/>
        </w:rPr>
        <w:t> </w:t>
      </w:r>
      <w:hyperlink r:id="rId21" w:history="1">
        <w:r>
          <w:rPr>
            <w:rStyle w:val="Collegamentoipertestuale"/>
            <w:rFonts w:ascii="Lato" w:hAnsi="Lato"/>
            <w:color w:val="0E10A1"/>
            <w:sz w:val="23"/>
            <w:szCs w:val="23"/>
            <w:shd w:val="clear" w:color="auto" w:fill="FBFB68"/>
          </w:rPr>
          <w:t>sentenza n. 242 del 2019</w:t>
        </w:r>
      </w:hyperlink>
      <w:r>
        <w:rPr>
          <w:rFonts w:ascii="Lato" w:hAnsi="Lato"/>
          <w:color w:val="000000"/>
          <w:sz w:val="23"/>
          <w:szCs w:val="23"/>
        </w:rPr>
        <w:t>, ove si è ribadito che il diritto alla vita, riconosciuto implicitamente dall’art. 2 Cost. (</w:t>
      </w:r>
      <w:hyperlink r:id="rId22" w:history="1">
        <w:r>
          <w:rPr>
            <w:rStyle w:val="Collegamentoipertestuale"/>
            <w:rFonts w:ascii="Lato" w:hAnsi="Lato"/>
            <w:color w:val="0E10A1"/>
            <w:sz w:val="23"/>
            <w:szCs w:val="23"/>
            <w:shd w:val="clear" w:color="auto" w:fill="FBFB68"/>
          </w:rPr>
          <w:t>sentenza n. 35 del 1997</w:t>
        </w:r>
      </w:hyperlink>
      <w:r>
        <w:rPr>
          <w:rFonts w:ascii="Lato" w:hAnsi="Lato"/>
          <w:color w:val="000000"/>
          <w:sz w:val="23"/>
          <w:szCs w:val="23"/>
        </w:rPr>
        <w:t>), nonché, in modo esplicito, dall’art. 2 della Convenzione per la salvaguardia dei diritti dell’uomo e delle libertà fondamentali (CEDU), firmata a Roma il 4 novembre 1950, ratificata e resa esecutiva con legge 4 agosto 1955, n. 848, è il «“primo dei diritti inviolabili dell’uomo” (</w:t>
      </w:r>
      <w:hyperlink r:id="rId23" w:history="1">
        <w:r>
          <w:rPr>
            <w:rStyle w:val="Collegamentoipertestuale"/>
            <w:rFonts w:ascii="Lato" w:hAnsi="Lato"/>
            <w:color w:val="0E10A1"/>
            <w:sz w:val="23"/>
            <w:szCs w:val="23"/>
            <w:shd w:val="clear" w:color="auto" w:fill="FBFB68"/>
          </w:rPr>
          <w:t>sentenza n. 223 del 1996</w:t>
        </w:r>
      </w:hyperlink>
      <w:r>
        <w:rPr>
          <w:rFonts w:ascii="Lato" w:hAnsi="Lato"/>
          <w:color w:val="000000"/>
          <w:sz w:val="23"/>
          <w:szCs w:val="23"/>
        </w:rPr>
        <w:t>), in quanto presupposto per l’esercizio di tutti gli altri», ponendo altresì in evidenza come da esso discenda «il dovere dello Stato di tutelare la vita di ogni individuo: non quello – diametralmente opposto – di riconoscere all’individuo la possibilità di ottenere dallo Stato o da terzi un aiuto a morire».</w:t>
      </w:r>
    </w:p>
    <w:p w14:paraId="2106482D" w14:textId="77777777" w:rsidR="00EB11A0" w:rsidRDefault="00EB11A0" w:rsidP="00EB11A0">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5.3.– Rispetto al reato di omicidio del consenziente, può, d’altro canto, ripetersi quanto già osservato da questa Corte in rapporto alla figura finitima dell’aiuto al suicidio (</w:t>
      </w:r>
      <w:hyperlink r:id="rId24" w:history="1">
        <w:r>
          <w:rPr>
            <w:rStyle w:val="Collegamentoipertestuale"/>
            <w:rFonts w:ascii="Lato" w:hAnsi="Lato"/>
            <w:color w:val="0E10A1"/>
            <w:sz w:val="23"/>
            <w:szCs w:val="23"/>
            <w:shd w:val="clear" w:color="auto" w:fill="FBFB68"/>
          </w:rPr>
          <w:t>ordinanza n. 207 del 2018</w:t>
        </w:r>
      </w:hyperlink>
      <w:r>
        <w:rPr>
          <w:rFonts w:ascii="Lato" w:hAnsi="Lato"/>
          <w:color w:val="000000"/>
          <w:sz w:val="23"/>
          <w:szCs w:val="23"/>
        </w:rPr>
        <w:t xml:space="preserve">). Se è ben vero, cioè, che il legislatore del 1930, mediante la norma incriminatrice di cui all’art. 579 cod. </w:t>
      </w:r>
      <w:proofErr w:type="spellStart"/>
      <w:r>
        <w:rPr>
          <w:rFonts w:ascii="Lato" w:hAnsi="Lato"/>
          <w:color w:val="000000"/>
          <w:sz w:val="23"/>
          <w:szCs w:val="23"/>
        </w:rPr>
        <w:t>pen</w:t>
      </w:r>
      <w:proofErr w:type="spellEnd"/>
      <w:r>
        <w:rPr>
          <w:rFonts w:ascii="Lato" w:hAnsi="Lato"/>
          <w:color w:val="000000"/>
          <w:sz w:val="23"/>
          <w:szCs w:val="23"/>
        </w:rPr>
        <w:t>., intendeva tutelare la vita umana intesa come bene indisponibile anche in funzione dell’interesse che lo Stato riponeva nella conservazione della vita dei propri cittadini, non è però affatto arduo cogliere, oggi, la ratio di tutela della norma «alla luce del mutato quadro costituzionale, che guarda alla persona umana come a un valore in sé, e non come a un semplice mezzo per il soddisfacimento di interessi collettivi».</w:t>
      </w:r>
    </w:p>
    <w:p w14:paraId="090BA764" w14:textId="77777777" w:rsidR="00EB11A0" w:rsidRDefault="00EB11A0" w:rsidP="00EB11A0">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lastRenderedPageBreak/>
        <w:t>Vietando ai terzi di farsi esecutori delle altrui richieste di morte, pur validamente espresse, l’incriminazione dell’omicidio del consenziente assolve, in effetti, come quella dell’aiuto al suicidio (</w:t>
      </w:r>
      <w:hyperlink r:id="rId25" w:history="1">
        <w:r>
          <w:rPr>
            <w:rStyle w:val="Collegamentoipertestuale"/>
            <w:rFonts w:ascii="Lato" w:hAnsi="Lato"/>
            <w:color w:val="0E10A1"/>
            <w:sz w:val="23"/>
            <w:szCs w:val="23"/>
            <w:shd w:val="clear" w:color="auto" w:fill="FBFB68"/>
          </w:rPr>
          <w:t>ordinanza n. 207 del 2018</w:t>
        </w:r>
      </w:hyperlink>
      <w:r>
        <w:rPr>
          <w:rFonts w:ascii="Lato" w:hAnsi="Lato"/>
          <w:color w:val="000000"/>
          <w:sz w:val="23"/>
          <w:szCs w:val="23"/>
        </w:rPr>
        <w:t xml:space="preserve">), allo scopo, di perdurante attualità, di </w:t>
      </w:r>
      <w:r w:rsidRPr="0056421F">
        <w:rPr>
          <w:rFonts w:ascii="Lato" w:hAnsi="Lato"/>
          <w:b/>
          <w:bCs/>
          <w:color w:val="000000"/>
          <w:sz w:val="23"/>
          <w:szCs w:val="23"/>
        </w:rPr>
        <w:t>proteggere il diritto alla vita, soprattutto – ma occorre aggiungere: non soltanto – delle persone più deboli e vulnerabili, in confronto a scelte estreme e irreparabili, collegate a situazioni, magari solo momentanee, di difficoltà e sofferenza, o anche soltanto non sufficientemente meditate</w:t>
      </w:r>
      <w:r>
        <w:rPr>
          <w:rFonts w:ascii="Lato" w:hAnsi="Lato"/>
          <w:color w:val="000000"/>
          <w:sz w:val="23"/>
          <w:szCs w:val="23"/>
        </w:rPr>
        <w:t>.</w:t>
      </w:r>
    </w:p>
    <w:p w14:paraId="1F214DEB" w14:textId="77777777" w:rsidR="00EB11A0" w:rsidRDefault="00EB11A0" w:rsidP="00EB11A0">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A questo riguardo, non può non essere ribadito il «cardinale rilievo del valore della vita», il quale, se non può tradursi in un dovere di vivere a tutti i costi, neppure consente una disciplina delle scelte di fine vita che, «in nome di una concezione astratta dell’autonomia individuale», ignori «le condizioni concrete di disagio o di abbandono nelle quali, spesso, simili decisioni vengono concepite» (</w:t>
      </w:r>
      <w:hyperlink r:id="rId26" w:history="1">
        <w:r>
          <w:rPr>
            <w:rStyle w:val="Collegamentoipertestuale"/>
            <w:rFonts w:ascii="Lato" w:hAnsi="Lato"/>
            <w:color w:val="0E10A1"/>
            <w:sz w:val="23"/>
            <w:szCs w:val="23"/>
            <w:shd w:val="clear" w:color="auto" w:fill="FBFB68"/>
          </w:rPr>
          <w:t>ordinanza n. 207 del 2018</w:t>
        </w:r>
      </w:hyperlink>
      <w:r>
        <w:rPr>
          <w:rFonts w:ascii="Lato" w:hAnsi="Lato"/>
          <w:color w:val="000000"/>
          <w:sz w:val="23"/>
          <w:szCs w:val="23"/>
        </w:rPr>
        <w:t xml:space="preserve">). </w:t>
      </w:r>
      <w:r w:rsidRPr="0056421F">
        <w:rPr>
          <w:rFonts w:ascii="Lato" w:hAnsi="Lato"/>
          <w:b/>
          <w:bCs/>
          <w:color w:val="000000"/>
          <w:sz w:val="23"/>
          <w:szCs w:val="23"/>
        </w:rPr>
        <w:t>Quando viene in rilievo il bene della vita umana, dunque, la libertà di autodeterminazione non può mai prevalere incondizionatamente sulle ragioni di tutela del medesimo bene, risultando, al contrario, sempre costituzionalmente necessario un bilanciamento che assicuri una sua tutela minima</w:t>
      </w:r>
      <w:r>
        <w:rPr>
          <w:rFonts w:ascii="Lato" w:hAnsi="Lato"/>
          <w:color w:val="000000"/>
          <w:sz w:val="23"/>
          <w:szCs w:val="23"/>
        </w:rPr>
        <w:t>.</w:t>
      </w:r>
    </w:p>
    <w:p w14:paraId="5BB6F8C0" w14:textId="77777777" w:rsidR="00EB11A0" w:rsidRPr="0056421F" w:rsidRDefault="00EB11A0" w:rsidP="00EB11A0">
      <w:pPr>
        <w:pStyle w:val="NormaleWeb"/>
        <w:shd w:val="clear" w:color="auto" w:fill="FFFFFF"/>
        <w:spacing w:before="0" w:beforeAutospacing="0" w:after="150" w:afterAutospacing="0"/>
        <w:ind w:firstLine="300"/>
        <w:jc w:val="both"/>
        <w:rPr>
          <w:rFonts w:ascii="Lato" w:hAnsi="Lato"/>
          <w:b/>
          <w:bCs/>
          <w:color w:val="000000"/>
          <w:sz w:val="23"/>
          <w:szCs w:val="23"/>
        </w:rPr>
      </w:pPr>
      <w:r w:rsidRPr="0056421F">
        <w:rPr>
          <w:rFonts w:ascii="Lato" w:hAnsi="Lato"/>
          <w:b/>
          <w:bCs/>
          <w:color w:val="000000"/>
          <w:sz w:val="23"/>
          <w:szCs w:val="23"/>
        </w:rPr>
        <w:t xml:space="preserve">Discipline come quella dell’art. 579 cod. </w:t>
      </w:r>
      <w:proofErr w:type="spellStart"/>
      <w:r w:rsidRPr="0056421F">
        <w:rPr>
          <w:rFonts w:ascii="Lato" w:hAnsi="Lato"/>
          <w:b/>
          <w:bCs/>
          <w:color w:val="000000"/>
          <w:sz w:val="23"/>
          <w:szCs w:val="23"/>
        </w:rPr>
        <w:t>pen</w:t>
      </w:r>
      <w:proofErr w:type="spellEnd"/>
      <w:r w:rsidRPr="0056421F">
        <w:rPr>
          <w:rFonts w:ascii="Lato" w:hAnsi="Lato"/>
          <w:b/>
          <w:bCs/>
          <w:color w:val="000000"/>
          <w:sz w:val="23"/>
          <w:szCs w:val="23"/>
        </w:rPr>
        <w:t>., poste a tutela della vita, non possono, pertanto, essere puramente e semplicemente abrogate, facendo così venir meno le istanze di protezione di quest’ultima a tutto vantaggio della libertà di autodeterminazione individuale.</w:t>
      </w:r>
    </w:p>
    <w:p w14:paraId="1571C96D" w14:textId="77777777" w:rsidR="00EB11A0" w:rsidRDefault="00EB11A0" w:rsidP="00EB11A0">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La norma incriminatrice vigente annette a quest’ultima una incidenza limitata, che si risolve nella mitigazione della risposta sanzionatoria, in capo all’autore del fatto di omicidio, in ragione del consenso prestato dalla vittima. Non si tratta di una legge a contenuto costituzionalmente vincolato, non essendo quella ora indicata l’unica disciplina della materia compatibile con il rilievo costituzionale del bene della vita umana. Discipline come quella considerata possono essere modificate o sostituite dallo stesso legislatore con altra disciplina, ma non possono essere puramente e semplicemente abrogate, perché </w:t>
      </w:r>
      <w:r w:rsidRPr="0056421F">
        <w:rPr>
          <w:rFonts w:ascii="Lato" w:hAnsi="Lato"/>
          <w:b/>
          <w:bCs/>
          <w:color w:val="000000"/>
          <w:sz w:val="23"/>
          <w:szCs w:val="23"/>
        </w:rPr>
        <w:t>non verrebbe in tal modo preservato il livello minimo di tutela richiesto</w:t>
      </w:r>
      <w:r>
        <w:rPr>
          <w:rFonts w:ascii="Lato" w:hAnsi="Lato"/>
          <w:color w:val="000000"/>
          <w:sz w:val="23"/>
          <w:szCs w:val="23"/>
        </w:rPr>
        <w:t xml:space="preserve"> dai referenti costituzionali ai quali esse si saldano.</w:t>
      </w:r>
    </w:p>
    <w:p w14:paraId="49490EBF" w14:textId="77777777" w:rsidR="00EB11A0" w:rsidRDefault="00EB11A0" w:rsidP="00EB11A0">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Già in occasione di uno dei referendum sull’interruzione della gravidanza, questa Corte ha del resto dichiarato inammissibile la richiesta referendaria, richiamando la necessità di una tutela minima per situazioni che tale tutela esigono secondo la Costituzione, con specifico riferimento al diritto alla vita (</w:t>
      </w:r>
      <w:hyperlink r:id="rId27" w:history="1">
        <w:r>
          <w:rPr>
            <w:rStyle w:val="Collegamentoipertestuale"/>
            <w:rFonts w:ascii="Lato" w:hAnsi="Lato"/>
            <w:color w:val="0E10A1"/>
            <w:sz w:val="23"/>
            <w:szCs w:val="23"/>
            <w:shd w:val="clear" w:color="auto" w:fill="FBFB68"/>
          </w:rPr>
          <w:t>sentenza n. 35 del 1997</w:t>
        </w:r>
      </w:hyperlink>
      <w:r>
        <w:rPr>
          <w:rFonts w:ascii="Lato" w:hAnsi="Lato"/>
          <w:color w:val="000000"/>
          <w:sz w:val="23"/>
          <w:szCs w:val="23"/>
        </w:rPr>
        <w:t>).</w:t>
      </w:r>
    </w:p>
    <w:p w14:paraId="12C79F6A" w14:textId="77777777" w:rsidR="00EB11A0" w:rsidRDefault="00EB11A0" w:rsidP="00EB11A0">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5.4.– Non gioverebbe opporre – come fanno i promotori e alcuni degli intervenienti – che l’abrogazione dell’art. 579 cod. </w:t>
      </w:r>
      <w:proofErr w:type="spellStart"/>
      <w:r>
        <w:rPr>
          <w:rFonts w:ascii="Lato" w:hAnsi="Lato"/>
          <w:color w:val="000000"/>
          <w:sz w:val="23"/>
          <w:szCs w:val="23"/>
        </w:rPr>
        <w:t>pen</w:t>
      </w:r>
      <w:proofErr w:type="spellEnd"/>
      <w:r>
        <w:rPr>
          <w:rFonts w:ascii="Lato" w:hAnsi="Lato"/>
          <w:color w:val="000000"/>
          <w:sz w:val="23"/>
          <w:szCs w:val="23"/>
        </w:rPr>
        <w:t>. richiesta dal quesito referendario, non essendo totale, ma solo parziale, garantirebbe i soggetti vulnerabili, in quanto resterebbero ancora puniti gli omicidi perpetrati in danno dei soggetti indicati dall’attuale terzo comma: e ciò tanto più alla luce del rigore con il quale la giurisprudenza ha mostrato sinora di valutare la ricorrenza dei presupposti di operatività della fattispecie meno gravemente punita dell’omicidio del consenziente.</w:t>
      </w:r>
    </w:p>
    <w:p w14:paraId="0F3B59D0" w14:textId="77777777" w:rsidR="00EB11A0" w:rsidRDefault="00EB11A0" w:rsidP="00EB11A0">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Le ipotesi alle quali rimarrebbe circoscritta la punibilità attengono, infatti, a casi in cui il consenso è viziato in modo conclamato per le modalità con le quali è ottenuto, oppure intrinsecamente invalido per la menomata capacità di chi lo presta. Le situazioni di vulnerabilità e debolezza alle quali hanno fatto riferimento le richiamate pronunce di questa Corte non si esauriscono, in ogni caso, nella sola minore età, infermità di mente e deficienza psichica, potendo connettersi a fattori di varia natura (non solo di salute fisica, ma anche affettivi, familiari, sociali o economici); senza considerare che </w:t>
      </w:r>
      <w:r w:rsidRPr="000E34DA">
        <w:rPr>
          <w:rFonts w:ascii="Lato" w:hAnsi="Lato"/>
          <w:b/>
          <w:bCs/>
          <w:color w:val="000000"/>
          <w:sz w:val="23"/>
          <w:szCs w:val="23"/>
        </w:rPr>
        <w:t>l’esigenza di tutela della vita umana contro la collaborazione da parte di terzi a scelte autodistruttive del titolare del diritto, che possono risultare, comunque sia, non adeguatamente ponderate, va oltre la stessa categoria dei soggetti vulnerabili</w:t>
      </w:r>
      <w:r>
        <w:rPr>
          <w:rFonts w:ascii="Lato" w:hAnsi="Lato"/>
          <w:color w:val="000000"/>
          <w:sz w:val="23"/>
          <w:szCs w:val="23"/>
        </w:rPr>
        <w:t>.</w:t>
      </w:r>
    </w:p>
    <w:p w14:paraId="72F12BCB" w14:textId="77777777" w:rsidR="00EB11A0" w:rsidRDefault="00EB11A0" w:rsidP="00EB11A0">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In tutte queste ipotesi, l’approvazione della proposta referendaria – che, come rilevato, renderebbe indiscriminatamente lecito l’omicidio di chi vi abbia validamente consentito senza incorrere nei vizi indicati, a prescindere dai motivi per i quali il consenso è prestato, dalle forme </w:t>
      </w:r>
      <w:r>
        <w:rPr>
          <w:rFonts w:ascii="Lato" w:hAnsi="Lato"/>
          <w:color w:val="000000"/>
          <w:sz w:val="23"/>
          <w:szCs w:val="23"/>
        </w:rPr>
        <w:lastRenderedPageBreak/>
        <w:t>in cui è espresso, dalla qualità dell’autore del fatto e dai modi in cui la morte è provocata – comporterebbe il venir meno di ogni tutela.</w:t>
      </w:r>
    </w:p>
    <w:p w14:paraId="292A0388" w14:textId="77777777" w:rsidR="00EB11A0" w:rsidRDefault="00EB11A0" w:rsidP="00EB11A0">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6.– Alla luce delle considerazioni svolte, </w:t>
      </w:r>
      <w:r w:rsidRPr="000E34DA">
        <w:rPr>
          <w:rFonts w:ascii="Lato" w:hAnsi="Lato"/>
          <w:b/>
          <w:bCs/>
          <w:color w:val="000000"/>
          <w:sz w:val="23"/>
          <w:szCs w:val="23"/>
        </w:rPr>
        <w:t>deve quindi concludersi per la natura costituzionalmente necessaria della normativa oggetto del quesito, che, per tale motivo, è sottratta all’abrogazione referendaria, con conseguente inammissibilità del quesito</w:t>
      </w:r>
      <w:r>
        <w:rPr>
          <w:rFonts w:ascii="Lato" w:hAnsi="Lato"/>
          <w:color w:val="000000"/>
          <w:sz w:val="23"/>
          <w:szCs w:val="23"/>
        </w:rPr>
        <w:t xml:space="preserve"> stesso.</w:t>
      </w:r>
    </w:p>
    <w:p w14:paraId="4BD64AC1" w14:textId="77777777" w:rsidR="00EB11A0" w:rsidRDefault="00EB11A0" w:rsidP="00EB11A0">
      <w:pPr>
        <w:pStyle w:val="NormaleWeb"/>
        <w:shd w:val="clear" w:color="auto" w:fill="FFFFFF"/>
        <w:spacing w:before="0" w:beforeAutospacing="0" w:after="150" w:afterAutospacing="0"/>
        <w:ind w:firstLine="300"/>
        <w:jc w:val="center"/>
        <w:rPr>
          <w:rFonts w:ascii="Lato" w:hAnsi="Lato"/>
          <w:color w:val="000000"/>
          <w:sz w:val="23"/>
          <w:szCs w:val="23"/>
        </w:rPr>
      </w:pPr>
      <w:r>
        <w:rPr>
          <w:rFonts w:ascii="Lato" w:hAnsi="Lato"/>
          <w:color w:val="000000"/>
          <w:sz w:val="23"/>
          <w:szCs w:val="23"/>
        </w:rPr>
        <w:t>Per Questi Motivi</w:t>
      </w:r>
    </w:p>
    <w:p w14:paraId="76FE997D" w14:textId="77777777" w:rsidR="00EB11A0" w:rsidRDefault="00EB11A0" w:rsidP="00EB11A0">
      <w:pPr>
        <w:pStyle w:val="NormaleWeb"/>
        <w:shd w:val="clear" w:color="auto" w:fill="FFFFFF"/>
        <w:spacing w:before="0" w:beforeAutospacing="0" w:after="150" w:afterAutospacing="0"/>
        <w:ind w:firstLine="300"/>
        <w:jc w:val="center"/>
        <w:rPr>
          <w:rFonts w:ascii="Lato" w:hAnsi="Lato"/>
          <w:color w:val="000000"/>
          <w:sz w:val="23"/>
          <w:szCs w:val="23"/>
        </w:rPr>
      </w:pPr>
      <w:r>
        <w:rPr>
          <w:rFonts w:ascii="Lato" w:hAnsi="Lato"/>
          <w:color w:val="000000"/>
          <w:sz w:val="23"/>
          <w:szCs w:val="23"/>
        </w:rPr>
        <w:t>LA CORTE COSTITUZIONALE</w:t>
      </w:r>
    </w:p>
    <w:p w14:paraId="20534646" w14:textId="77777777" w:rsidR="00EB11A0" w:rsidRDefault="00EB11A0" w:rsidP="00EB11A0">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dichiara inammissibile la richiesta di referendum popolare per l’abrogazione, nelle parti indicate in epigrafe, dell’art. 579 del </w:t>
      </w:r>
      <w:proofErr w:type="gramStart"/>
      <w:r>
        <w:rPr>
          <w:rFonts w:ascii="Lato" w:hAnsi="Lato"/>
          <w:color w:val="000000"/>
          <w:sz w:val="23"/>
          <w:szCs w:val="23"/>
        </w:rPr>
        <w:t>codice penale</w:t>
      </w:r>
      <w:proofErr w:type="gramEnd"/>
      <w:r>
        <w:rPr>
          <w:rFonts w:ascii="Lato" w:hAnsi="Lato"/>
          <w:color w:val="000000"/>
          <w:sz w:val="23"/>
          <w:szCs w:val="23"/>
        </w:rPr>
        <w:t xml:space="preserve"> (Omicidio del consenziente), dichiarata legittima dall’Ufficio centrale per il referendum, costituito presso la Corte di cassazione, con ordinanza del 15 dicembre 2021.</w:t>
      </w:r>
    </w:p>
    <w:p w14:paraId="35BBBAA1" w14:textId="77777777" w:rsidR="00EB11A0" w:rsidRDefault="00EB11A0" w:rsidP="00EB11A0">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Così deciso in Roma, nella sede della Corte costituzionale, Palazzo della Consulta, il 15 febbraio 2022.</w:t>
      </w:r>
    </w:p>
    <w:p w14:paraId="7DF38C19" w14:textId="77777777" w:rsidR="00EB11A0" w:rsidRDefault="00EB11A0" w:rsidP="00EB11A0">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F.to:</w:t>
      </w:r>
    </w:p>
    <w:p w14:paraId="0352A494" w14:textId="77777777" w:rsidR="00EB11A0" w:rsidRDefault="00EB11A0" w:rsidP="00EB11A0">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Giuliano AMATO, Presidente</w:t>
      </w:r>
    </w:p>
    <w:p w14:paraId="1480813C" w14:textId="77777777" w:rsidR="00EB11A0" w:rsidRDefault="00EB11A0" w:rsidP="00EB11A0">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Franco MODUGNO, Redattore</w:t>
      </w:r>
    </w:p>
    <w:p w14:paraId="44D47CF1" w14:textId="77777777" w:rsidR="004671F7" w:rsidRDefault="004671F7"/>
    <w:sectPr w:rsidR="004671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1A0"/>
    <w:rsid w:val="000E34DA"/>
    <w:rsid w:val="00150F87"/>
    <w:rsid w:val="004671F7"/>
    <w:rsid w:val="0056421F"/>
    <w:rsid w:val="00DC7456"/>
    <w:rsid w:val="00EB11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143EA3B"/>
  <w15:chartTrackingRefBased/>
  <w15:docId w15:val="{06D52936-48CC-AF42-989D-7E5597D55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B11A0"/>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apple-converted-space">
    <w:name w:val="apple-converted-space"/>
    <w:basedOn w:val="Carpredefinitoparagrafo"/>
    <w:rsid w:val="00EB11A0"/>
  </w:style>
  <w:style w:type="character" w:styleId="Collegamentoipertestuale">
    <w:name w:val="Hyperlink"/>
    <w:basedOn w:val="Carpredefinitoparagrafo"/>
    <w:uiPriority w:val="99"/>
    <w:semiHidden/>
    <w:unhideWhenUsed/>
    <w:rsid w:val="00EB11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82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urcost.org/decisioni/1997/0017s-97.html" TargetMode="External"/><Relationship Id="rId13" Type="http://schemas.openxmlformats.org/officeDocument/2006/relationships/hyperlink" Target="https://giurcost.org/decisioni/1981/0025s-81.html" TargetMode="External"/><Relationship Id="rId18" Type="http://schemas.openxmlformats.org/officeDocument/2006/relationships/hyperlink" Target="https://giurcost.org/decisioni/1997/0035s-97.html" TargetMode="External"/><Relationship Id="rId26" Type="http://schemas.openxmlformats.org/officeDocument/2006/relationships/hyperlink" Target="https://giurcost.org/decisioni/2018/0207o-18.html" TargetMode="External"/><Relationship Id="rId3" Type="http://schemas.openxmlformats.org/officeDocument/2006/relationships/webSettings" Target="webSettings.xml"/><Relationship Id="rId21" Type="http://schemas.openxmlformats.org/officeDocument/2006/relationships/hyperlink" Target="https://giurcost.org/decisioni/2019/0242s-19.html" TargetMode="External"/><Relationship Id="rId7" Type="http://schemas.openxmlformats.org/officeDocument/2006/relationships/hyperlink" Target="https://giurcost.org/decisioni/2018/0207o-18.html" TargetMode="External"/><Relationship Id="rId12" Type="http://schemas.openxmlformats.org/officeDocument/2006/relationships/hyperlink" Target="https://giurcost.org/decisioni/1978/0016s-78.html" TargetMode="External"/><Relationship Id="rId17" Type="http://schemas.openxmlformats.org/officeDocument/2006/relationships/hyperlink" Target="https://giurcost.org/decisioni/1988/1146s-88.html" TargetMode="External"/><Relationship Id="rId25" Type="http://schemas.openxmlformats.org/officeDocument/2006/relationships/hyperlink" Target="https://giurcost.org/decisioni/2018/0207o-18.html" TargetMode="External"/><Relationship Id="rId2" Type="http://schemas.openxmlformats.org/officeDocument/2006/relationships/settings" Target="settings.xml"/><Relationship Id="rId16" Type="http://schemas.openxmlformats.org/officeDocument/2006/relationships/hyperlink" Target="https://giurcost.org/decisioni/2005/0045s-05.html" TargetMode="External"/><Relationship Id="rId20" Type="http://schemas.openxmlformats.org/officeDocument/2006/relationships/hyperlink" Target="https://giurcost.org/decisioni/2018/0207o-18.htm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giurcost.org/decisioni/2019/0242s-19.html" TargetMode="External"/><Relationship Id="rId11" Type="http://schemas.openxmlformats.org/officeDocument/2006/relationships/hyperlink" Target="https://giurcost.org/decisioni/1981/0026s-81.html" TargetMode="External"/><Relationship Id="rId24" Type="http://schemas.openxmlformats.org/officeDocument/2006/relationships/hyperlink" Target="https://giurcost.org/decisioni/2018/0207o-18.html" TargetMode="External"/><Relationship Id="rId5" Type="http://schemas.openxmlformats.org/officeDocument/2006/relationships/hyperlink" Target="https://giurcost.org/decisioni/2019/0242s-19.html" TargetMode="External"/><Relationship Id="rId15" Type="http://schemas.openxmlformats.org/officeDocument/2006/relationships/hyperlink" Target="https://giurcost.org/decisioni/2000/0049s-00.html" TargetMode="External"/><Relationship Id="rId23" Type="http://schemas.openxmlformats.org/officeDocument/2006/relationships/hyperlink" Target="https://giurcost.org/decisioni/1996/0223s-96.html" TargetMode="External"/><Relationship Id="rId28" Type="http://schemas.openxmlformats.org/officeDocument/2006/relationships/fontTable" Target="fontTable.xml"/><Relationship Id="rId10" Type="http://schemas.openxmlformats.org/officeDocument/2006/relationships/hyperlink" Target="https://giurcost.org/decisioni/1987/0027s-87.html" TargetMode="External"/><Relationship Id="rId19" Type="http://schemas.openxmlformats.org/officeDocument/2006/relationships/hyperlink" Target="https://giurcost.org/decisioni/1996/0238s-96.html" TargetMode="External"/><Relationship Id="rId4" Type="http://schemas.openxmlformats.org/officeDocument/2006/relationships/hyperlink" Target="https://giurcost.org/decisioni/2019/0242s-19.html" TargetMode="External"/><Relationship Id="rId9" Type="http://schemas.openxmlformats.org/officeDocument/2006/relationships/hyperlink" Target="https://giurcost.org/decisioni/1978/0016s-78.html" TargetMode="External"/><Relationship Id="rId14" Type="http://schemas.openxmlformats.org/officeDocument/2006/relationships/hyperlink" Target="https://giurcost.org/decisioni/1997/0035s-97.html" TargetMode="External"/><Relationship Id="rId22" Type="http://schemas.openxmlformats.org/officeDocument/2006/relationships/hyperlink" Target="https://giurcost.org/decisioni/1997/0035s-97.html" TargetMode="External"/><Relationship Id="rId27" Type="http://schemas.openxmlformats.org/officeDocument/2006/relationships/hyperlink" Target="https://giurcost.org/decisioni/1997/0035s-97.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2901</Words>
  <Characters>16541</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Padula Carlo</dc:creator>
  <cp:keywords/>
  <dc:description/>
  <cp:lastModifiedBy>Padula Carlo</cp:lastModifiedBy>
  <cp:revision>3</cp:revision>
  <dcterms:created xsi:type="dcterms:W3CDTF">2023-09-30T05:29:00Z</dcterms:created>
  <dcterms:modified xsi:type="dcterms:W3CDTF">2023-10-02T04:25:00Z</dcterms:modified>
</cp:coreProperties>
</file>