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A625" w14:textId="6ED6BA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Pr>
          <w:rFonts w:ascii="Lato" w:eastAsia="Times New Roman" w:hAnsi="Lato" w:cs="Times New Roman"/>
          <w:color w:val="000000"/>
          <w:kern w:val="0"/>
          <w:sz w:val="23"/>
          <w:szCs w:val="23"/>
          <w:lang w:eastAsia="it-IT"/>
          <w14:ligatures w14:val="none"/>
        </w:rPr>
        <w:t>ORD. 334/2008</w:t>
      </w:r>
    </w:p>
    <w:p w14:paraId="65767FF2" w14:textId="3653EA8B" w:rsidR="006B348E" w:rsidRPr="006B348E" w:rsidRDefault="006B348E" w:rsidP="006B348E">
      <w:pPr>
        <w:shd w:val="clear" w:color="auto" w:fill="FFFFFF"/>
        <w:spacing w:after="150"/>
        <w:ind w:firstLine="300"/>
        <w:jc w:val="both"/>
        <w:rPr>
          <w:rFonts w:ascii="Lato" w:eastAsia="Times New Roman" w:hAnsi="Lato" w:cs="Times New Roman"/>
          <w:b/>
          <w:bCs/>
          <w:color w:val="000000"/>
          <w:kern w:val="0"/>
          <w:sz w:val="23"/>
          <w:szCs w:val="23"/>
          <w:lang w:eastAsia="it-IT"/>
          <w14:ligatures w14:val="none"/>
        </w:rPr>
      </w:pPr>
      <w:r w:rsidRPr="006B348E">
        <w:rPr>
          <w:rFonts w:ascii="Lato" w:eastAsia="Times New Roman" w:hAnsi="Lato" w:cs="Times New Roman"/>
          <w:i/>
          <w:iCs/>
          <w:color w:val="000000"/>
          <w:kern w:val="0"/>
          <w:sz w:val="23"/>
          <w:szCs w:val="23"/>
          <w:lang w:eastAsia="it-IT"/>
          <w14:ligatures w14:val="none"/>
        </w:rPr>
        <w:t>Considerato</w:t>
      </w:r>
      <w:r w:rsidRPr="006B348E">
        <w:rPr>
          <w:rFonts w:ascii="Lato" w:eastAsia="Times New Roman" w:hAnsi="Lato" w:cs="Times New Roman"/>
          <w:color w:val="000000"/>
          <w:kern w:val="0"/>
          <w:sz w:val="23"/>
          <w:szCs w:val="23"/>
          <w:lang w:eastAsia="it-IT"/>
          <w14:ligatures w14:val="none"/>
        </w:rPr>
        <w:t xml:space="preserve"> che la Camera dei deputati ed il Senato della Repubblica con due distinti ricorsi hanno sollevato conflitto di attribuzione nei confronti dell’Autorità giudiziaria, deducendo che la sentenza n. 21748 del 2007 della Corte di cassazione ed il decreto 25 giugno 2008 della Corte di appello di Milano </w:t>
      </w:r>
      <w:r w:rsidRPr="006B348E">
        <w:rPr>
          <w:rFonts w:ascii="Lato" w:eastAsia="Times New Roman" w:hAnsi="Lato" w:cs="Times New Roman"/>
          <w:b/>
          <w:bCs/>
          <w:color w:val="000000"/>
          <w:kern w:val="0"/>
          <w:sz w:val="23"/>
          <w:szCs w:val="23"/>
          <w:lang w:eastAsia="it-IT"/>
          <w14:ligatures w14:val="none"/>
        </w:rPr>
        <w:t>avrebbero usurpato, e comunque menomato, le attribuzioni legislative del Parlamento;</w:t>
      </w:r>
    </w:p>
    <w:p w14:paraId="0E174D92"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xml:space="preserve">        che, in particolare, tali provvedimenti, venendo a stabilire termini e condizioni affinché possa cessare il trattamento di alimentazione ed idratazione artificiale cui è sottoposto un paziente in stato vegetativo permanente, </w:t>
      </w:r>
      <w:r w:rsidRPr="006B348E">
        <w:rPr>
          <w:rFonts w:ascii="Lato" w:eastAsia="Times New Roman" w:hAnsi="Lato" w:cs="Times New Roman"/>
          <w:b/>
          <w:bCs/>
          <w:color w:val="000000"/>
          <w:kern w:val="0"/>
          <w:sz w:val="23"/>
          <w:szCs w:val="23"/>
          <w:lang w:eastAsia="it-IT"/>
          <w14:ligatures w14:val="none"/>
        </w:rPr>
        <w:t>avrebbero utilizzato la funzione giurisdizionale per modificare in realtà il sistema legislativo vigente</w:t>
      </w:r>
      <w:r w:rsidRPr="006B348E">
        <w:rPr>
          <w:rFonts w:ascii="Lato" w:eastAsia="Times New Roman" w:hAnsi="Lato" w:cs="Times New Roman"/>
          <w:color w:val="000000"/>
          <w:kern w:val="0"/>
          <w:sz w:val="23"/>
          <w:szCs w:val="23"/>
          <w:lang w:eastAsia="it-IT"/>
          <w14:ligatures w14:val="none"/>
        </w:rPr>
        <w:t>, così invadendo l’area riservata al legislatore;</w:t>
      </w:r>
    </w:p>
    <w:p w14:paraId="2F0787AC"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i ricorsi meritano di essere riuniti, riferendosi alla medesima vicenda;</w:t>
      </w:r>
    </w:p>
    <w:p w14:paraId="4EEC9CB6"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in questa fase del giudizio, a norma dell’art. 37, terzo e quarto comma, della legge 11 marzo 1953, n. 87, questa Corte è chiamata a delibare, senza contraddittorio tra le parti, esclusivamente se il ricorso sia ammissibile, valutando se sussistano i requisiti soggettivo ed oggettivo di un conflitto di attribuzione tra poteri dello Stato;</w:t>
      </w:r>
    </w:p>
    <w:p w14:paraId="6644DA0A"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non è dubbia la legittimazione attiva di ciascun ramo del Parlamento a difendere le attribuzioni costituzionali che gli spettino, quand’anche esercitate congiuntamente;</w:t>
      </w:r>
    </w:p>
    <w:p w14:paraId="7A6DAF5C"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spetta parimenti alla Corte di cassazione ed alla Corte di appello di Milano la legittimazione passiva al conflitto, in quanto organi competenti a dichiarare in via definitiva, in relazione al procedimento di cui sono investiti, la volontà del potere cui appartengono (</w:t>
      </w:r>
      <w:r w:rsidRPr="006B348E">
        <w:rPr>
          <w:rFonts w:ascii="Lato" w:eastAsia="Times New Roman" w:hAnsi="Lato" w:cs="Times New Roman"/>
          <w:i/>
          <w:iCs/>
          <w:color w:val="000000"/>
          <w:kern w:val="0"/>
          <w:sz w:val="23"/>
          <w:szCs w:val="23"/>
          <w:lang w:eastAsia="it-IT"/>
          <w14:ligatures w14:val="none"/>
        </w:rPr>
        <w:t xml:space="preserve">ex </w:t>
      </w:r>
      <w:proofErr w:type="spellStart"/>
      <w:r w:rsidRPr="006B348E">
        <w:rPr>
          <w:rFonts w:ascii="Lato" w:eastAsia="Times New Roman" w:hAnsi="Lato" w:cs="Times New Roman"/>
          <w:i/>
          <w:iCs/>
          <w:color w:val="000000"/>
          <w:kern w:val="0"/>
          <w:sz w:val="23"/>
          <w:szCs w:val="23"/>
          <w:lang w:eastAsia="it-IT"/>
          <w14:ligatures w14:val="none"/>
        </w:rPr>
        <w:t>plurimis</w:t>
      </w:r>
      <w:proofErr w:type="spellEnd"/>
      <w:r w:rsidRPr="006B348E">
        <w:rPr>
          <w:rFonts w:ascii="Lato" w:eastAsia="Times New Roman" w:hAnsi="Lato" w:cs="Times New Roman"/>
          <w:i/>
          <w:iCs/>
          <w:color w:val="000000"/>
          <w:kern w:val="0"/>
          <w:sz w:val="23"/>
          <w:szCs w:val="23"/>
          <w:lang w:eastAsia="it-IT"/>
          <w14:ligatures w14:val="none"/>
        </w:rPr>
        <w:t>,</w:t>
      </w:r>
      <w:r w:rsidRPr="006B348E">
        <w:rPr>
          <w:rFonts w:ascii="Lato" w:eastAsia="Times New Roman" w:hAnsi="Lato" w:cs="Times New Roman"/>
          <w:color w:val="000000"/>
          <w:kern w:val="0"/>
          <w:sz w:val="23"/>
          <w:szCs w:val="23"/>
          <w:lang w:eastAsia="it-IT"/>
          <w14:ligatures w14:val="none"/>
        </w:rPr>
        <w:t> </w:t>
      </w:r>
      <w:hyperlink r:id="rId4" w:history="1">
        <w:r w:rsidRPr="006B348E">
          <w:rPr>
            <w:rFonts w:ascii="Lato" w:eastAsia="Times New Roman" w:hAnsi="Lato" w:cs="Times New Roman"/>
            <w:color w:val="0E10A1"/>
            <w:kern w:val="0"/>
            <w:sz w:val="23"/>
            <w:szCs w:val="23"/>
            <w:u w:val="single"/>
            <w:shd w:val="clear" w:color="auto" w:fill="FBFB68"/>
            <w:lang w:eastAsia="it-IT"/>
            <w14:ligatures w14:val="none"/>
          </w:rPr>
          <w:t>ordinanza n. 44 del 2005</w:t>
        </w:r>
      </w:hyperlink>
      <w:r w:rsidRPr="006B348E">
        <w:rPr>
          <w:rFonts w:ascii="Lato" w:eastAsia="Times New Roman" w:hAnsi="Lato" w:cs="Times New Roman"/>
          <w:color w:val="000000"/>
          <w:kern w:val="0"/>
          <w:sz w:val="23"/>
          <w:szCs w:val="23"/>
          <w:lang w:eastAsia="it-IT"/>
          <w14:ligatures w14:val="none"/>
        </w:rPr>
        <w:t>);</w:t>
      </w:r>
    </w:p>
    <w:p w14:paraId="5CED54AE"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la Corte di cassazione, con la sentenza oggetto dei conflitti, ha enunciato, nel corso di un procedimento di volontaria giurisdizione, il principio di diritto cui deve attenersi il giudice di rinvio nella fattispecie sottoposta al suo giudizio e che la Corte di appello di Milano ha applicato questo principio al caso concreto, avendo previamente ritenuto manifestamente infondati gli ipotetici dubbi di legittimità costituzionale;</w:t>
      </w:r>
    </w:p>
    <w:p w14:paraId="17D68595"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per costante giurisprudenza di questa Corte, l’ammissibilità di un conflitto avente ad oggetto atti giurisdizionali sussiste «solo quando sia contestata la riconducibilità della decisione o di statuizioni in essa contenute alla funzione giurisdizionale, o si lamenti il superamento dei limiti, diversi dal generale vincolo del giudice alla legge, anche costituzionale, che essa incontra nell’ordinamento a garanzia di altre attribuzioni costituzionali» (</w:t>
      </w:r>
      <w:hyperlink r:id="rId5" w:history="1">
        <w:r w:rsidRPr="006B348E">
          <w:rPr>
            <w:rFonts w:ascii="Lato" w:eastAsia="Times New Roman" w:hAnsi="Lato" w:cs="Times New Roman"/>
            <w:color w:val="0E10A1"/>
            <w:kern w:val="0"/>
            <w:sz w:val="23"/>
            <w:szCs w:val="23"/>
            <w:u w:val="single"/>
            <w:shd w:val="clear" w:color="auto" w:fill="FBFB68"/>
            <w:lang w:eastAsia="it-IT"/>
            <w14:ligatures w14:val="none"/>
          </w:rPr>
          <w:t>ordinanza n. 359 del 1999</w:t>
        </w:r>
      </w:hyperlink>
      <w:r w:rsidRPr="006B348E">
        <w:rPr>
          <w:rFonts w:ascii="Lato" w:eastAsia="Times New Roman" w:hAnsi="Lato" w:cs="Times New Roman"/>
          <w:color w:val="000000"/>
          <w:kern w:val="0"/>
          <w:sz w:val="23"/>
          <w:szCs w:val="23"/>
          <w:lang w:eastAsia="it-IT"/>
          <w14:ligatures w14:val="none"/>
        </w:rPr>
        <w:t>; nello stesso senso, tra le più recenti, </w:t>
      </w:r>
      <w:hyperlink r:id="rId6" w:history="1">
        <w:r w:rsidRPr="006B348E">
          <w:rPr>
            <w:rFonts w:ascii="Lato" w:eastAsia="Times New Roman" w:hAnsi="Lato" w:cs="Times New Roman"/>
            <w:color w:val="0E10A1"/>
            <w:kern w:val="0"/>
            <w:sz w:val="23"/>
            <w:szCs w:val="23"/>
            <w:u w:val="single"/>
            <w:shd w:val="clear" w:color="auto" w:fill="FBFB68"/>
            <w:lang w:eastAsia="it-IT"/>
            <w14:ligatures w14:val="none"/>
          </w:rPr>
          <w:t>sentenze n. 290</w:t>
        </w:r>
      </w:hyperlink>
      <w:r w:rsidRPr="006B348E">
        <w:rPr>
          <w:rFonts w:ascii="Lato" w:eastAsia="Times New Roman" w:hAnsi="Lato" w:cs="Times New Roman"/>
          <w:color w:val="000000"/>
          <w:kern w:val="0"/>
          <w:sz w:val="23"/>
          <w:szCs w:val="23"/>
          <w:lang w:eastAsia="it-IT"/>
          <w14:ligatures w14:val="none"/>
        </w:rPr>
        <w:t>, </w:t>
      </w:r>
      <w:hyperlink r:id="rId7" w:history="1">
        <w:r w:rsidRPr="006B348E">
          <w:rPr>
            <w:rFonts w:ascii="Lato" w:eastAsia="Times New Roman" w:hAnsi="Lato" w:cs="Times New Roman"/>
            <w:color w:val="0E10A1"/>
            <w:kern w:val="0"/>
            <w:sz w:val="23"/>
            <w:szCs w:val="23"/>
            <w:u w:val="single"/>
            <w:shd w:val="clear" w:color="auto" w:fill="FBFB68"/>
            <w:lang w:eastAsia="it-IT"/>
            <w14:ligatures w14:val="none"/>
          </w:rPr>
          <w:t>n. 222</w:t>
        </w:r>
      </w:hyperlink>
      <w:r w:rsidRPr="006B348E">
        <w:rPr>
          <w:rFonts w:ascii="Lato" w:eastAsia="Times New Roman" w:hAnsi="Lato" w:cs="Times New Roman"/>
          <w:color w:val="000000"/>
          <w:kern w:val="0"/>
          <w:sz w:val="23"/>
          <w:szCs w:val="23"/>
          <w:lang w:eastAsia="it-IT"/>
          <w14:ligatures w14:val="none"/>
        </w:rPr>
        <w:t>, </w:t>
      </w:r>
      <w:hyperlink r:id="rId8" w:history="1">
        <w:r w:rsidRPr="006B348E">
          <w:rPr>
            <w:rFonts w:ascii="Lato" w:eastAsia="Times New Roman" w:hAnsi="Lato" w:cs="Times New Roman"/>
            <w:color w:val="0E10A1"/>
            <w:kern w:val="0"/>
            <w:sz w:val="23"/>
            <w:szCs w:val="23"/>
            <w:u w:val="single"/>
            <w:shd w:val="clear" w:color="auto" w:fill="FBFB68"/>
            <w:lang w:eastAsia="it-IT"/>
            <w14:ligatures w14:val="none"/>
          </w:rPr>
          <w:t>n. 150</w:t>
        </w:r>
      </w:hyperlink>
      <w:r w:rsidRPr="006B348E">
        <w:rPr>
          <w:rFonts w:ascii="Lato" w:eastAsia="Times New Roman" w:hAnsi="Lato" w:cs="Times New Roman"/>
          <w:color w:val="000000"/>
          <w:kern w:val="0"/>
          <w:sz w:val="23"/>
          <w:szCs w:val="23"/>
          <w:lang w:eastAsia="it-IT"/>
          <w14:ligatures w14:val="none"/>
        </w:rPr>
        <w:t>, </w:t>
      </w:r>
      <w:hyperlink r:id="rId9" w:history="1">
        <w:r w:rsidRPr="006B348E">
          <w:rPr>
            <w:rFonts w:ascii="Lato" w:eastAsia="Times New Roman" w:hAnsi="Lato" w:cs="Times New Roman"/>
            <w:color w:val="0E10A1"/>
            <w:kern w:val="0"/>
            <w:sz w:val="23"/>
            <w:szCs w:val="23"/>
            <w:u w:val="single"/>
            <w:shd w:val="clear" w:color="auto" w:fill="FBFB68"/>
            <w:lang w:eastAsia="it-IT"/>
            <w14:ligatures w14:val="none"/>
          </w:rPr>
          <w:t>n. 2 del 2007</w:t>
        </w:r>
      </w:hyperlink>
      <w:r w:rsidRPr="006B348E">
        <w:rPr>
          <w:rFonts w:ascii="Lato" w:eastAsia="Times New Roman" w:hAnsi="Lato" w:cs="Times New Roman"/>
          <w:color w:val="000000"/>
          <w:kern w:val="0"/>
          <w:sz w:val="23"/>
          <w:szCs w:val="23"/>
          <w:lang w:eastAsia="it-IT"/>
          <w14:ligatures w14:val="none"/>
        </w:rPr>
        <w:t>);</w:t>
      </w:r>
    </w:p>
    <w:p w14:paraId="1BCF6DF6"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la medesima giurisprudenza afferma che un conflitto di attribuzione nei confronti di un atto giurisdizionale non può ridursi alla prospettazione di un percorso logico-giuridico alternativo rispetto a quello censurato, giacché il conflitto di attribuzione «non può essere trasformato in un atipico mezzo di gravame avverso le pronunce dei giudici» (</w:t>
      </w:r>
      <w:hyperlink r:id="rId10" w:history="1">
        <w:r w:rsidRPr="006B348E">
          <w:rPr>
            <w:rFonts w:ascii="Lato" w:eastAsia="Times New Roman" w:hAnsi="Lato" w:cs="Times New Roman"/>
            <w:color w:val="0E10A1"/>
            <w:kern w:val="0"/>
            <w:sz w:val="23"/>
            <w:szCs w:val="23"/>
            <w:u w:val="single"/>
            <w:shd w:val="clear" w:color="auto" w:fill="FBFB68"/>
            <w:lang w:eastAsia="it-IT"/>
            <w14:ligatures w14:val="none"/>
          </w:rPr>
          <w:t>ordinanza n. 359 del 1999</w:t>
        </w:r>
      </w:hyperlink>
      <w:r w:rsidRPr="006B348E">
        <w:rPr>
          <w:rFonts w:ascii="Lato" w:eastAsia="Times New Roman" w:hAnsi="Lato" w:cs="Times New Roman"/>
          <w:color w:val="000000"/>
          <w:kern w:val="0"/>
          <w:sz w:val="23"/>
          <w:szCs w:val="23"/>
          <w:lang w:eastAsia="it-IT"/>
          <w14:ligatures w14:val="none"/>
        </w:rPr>
        <w:t>; si veda altresì la </w:t>
      </w:r>
      <w:hyperlink r:id="rId11" w:history="1">
        <w:r w:rsidRPr="006B348E">
          <w:rPr>
            <w:rFonts w:ascii="Lato" w:eastAsia="Times New Roman" w:hAnsi="Lato" w:cs="Times New Roman"/>
            <w:color w:val="0E10A1"/>
            <w:kern w:val="0"/>
            <w:sz w:val="23"/>
            <w:szCs w:val="23"/>
            <w:u w:val="single"/>
            <w:shd w:val="clear" w:color="auto" w:fill="FBFB68"/>
            <w:lang w:eastAsia="it-IT"/>
            <w14:ligatures w14:val="none"/>
          </w:rPr>
          <w:t>sentenza n. 290 del 2007</w:t>
        </w:r>
      </w:hyperlink>
      <w:r w:rsidRPr="006B348E">
        <w:rPr>
          <w:rFonts w:ascii="Lato" w:eastAsia="Times New Roman" w:hAnsi="Lato" w:cs="Times New Roman"/>
          <w:color w:val="000000"/>
          <w:kern w:val="0"/>
          <w:sz w:val="23"/>
          <w:szCs w:val="23"/>
          <w:lang w:eastAsia="it-IT"/>
          <w14:ligatures w14:val="none"/>
        </w:rPr>
        <w:t>); </w:t>
      </w:r>
    </w:p>
    <w:p w14:paraId="7FBA3F1E"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xml:space="preserve">        che, peraltro, </w:t>
      </w:r>
      <w:r w:rsidRPr="006B348E">
        <w:rPr>
          <w:rFonts w:ascii="Lato" w:eastAsia="Times New Roman" w:hAnsi="Lato" w:cs="Times New Roman"/>
          <w:b/>
          <w:bCs/>
          <w:color w:val="000000"/>
          <w:kern w:val="0"/>
          <w:sz w:val="23"/>
          <w:szCs w:val="23"/>
          <w:lang w:eastAsia="it-IT"/>
          <w14:ligatures w14:val="none"/>
        </w:rPr>
        <w:t>questa Corte non rileva la sussistenza nella specie di indici atti a dimostrare che i giudici abbiano utilizzato i provvedimenti censurati – aventi tutte le caratteristiche di atti giurisdizionali loro proprie e, pertanto, spieganti efficacia solo per il caso di specie – come meri schermi formali per esercitare, invece, funzioni di produzione normativa</w:t>
      </w:r>
      <w:r w:rsidRPr="006B348E">
        <w:rPr>
          <w:rFonts w:ascii="Lato" w:eastAsia="Times New Roman" w:hAnsi="Lato" w:cs="Times New Roman"/>
          <w:color w:val="000000"/>
          <w:kern w:val="0"/>
          <w:sz w:val="23"/>
          <w:szCs w:val="23"/>
          <w:lang w:eastAsia="it-IT"/>
          <w14:ligatures w14:val="none"/>
        </w:rPr>
        <w:t xml:space="preserve"> o per menomare l’esercizio del potere legislativo da parte del Parlamento, che ne è sempre e comunque il titolare; </w:t>
      </w:r>
    </w:p>
    <w:p w14:paraId="2714706A"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xml:space="preserve">        che entrambe </w:t>
      </w:r>
      <w:r w:rsidRPr="006B348E">
        <w:rPr>
          <w:rFonts w:ascii="Lato" w:eastAsia="Times New Roman" w:hAnsi="Lato" w:cs="Times New Roman"/>
          <w:b/>
          <w:bCs/>
          <w:color w:val="000000"/>
          <w:kern w:val="0"/>
          <w:sz w:val="23"/>
          <w:szCs w:val="23"/>
          <w:lang w:eastAsia="it-IT"/>
          <w14:ligatures w14:val="none"/>
        </w:rPr>
        <w:t>le parti ricorrenti, pur escludendo di voler sindacare </w:t>
      </w:r>
      <w:proofErr w:type="spellStart"/>
      <w:r w:rsidRPr="006B348E">
        <w:rPr>
          <w:rFonts w:ascii="Lato" w:eastAsia="Times New Roman" w:hAnsi="Lato" w:cs="Times New Roman"/>
          <w:b/>
          <w:bCs/>
          <w:i/>
          <w:iCs/>
          <w:color w:val="000000"/>
          <w:kern w:val="0"/>
          <w:sz w:val="23"/>
          <w:szCs w:val="23"/>
          <w:lang w:eastAsia="it-IT"/>
          <w14:ligatures w14:val="none"/>
        </w:rPr>
        <w:t>errores</w:t>
      </w:r>
      <w:proofErr w:type="spellEnd"/>
      <w:r w:rsidRPr="006B348E">
        <w:rPr>
          <w:rFonts w:ascii="Lato" w:eastAsia="Times New Roman" w:hAnsi="Lato" w:cs="Times New Roman"/>
          <w:b/>
          <w:bCs/>
          <w:i/>
          <w:iCs/>
          <w:color w:val="000000"/>
          <w:kern w:val="0"/>
          <w:sz w:val="23"/>
          <w:szCs w:val="23"/>
          <w:lang w:eastAsia="it-IT"/>
          <w14:ligatures w14:val="none"/>
        </w:rPr>
        <w:t> in iudicando</w:t>
      </w:r>
      <w:r w:rsidRPr="006B348E">
        <w:rPr>
          <w:rFonts w:ascii="Lato" w:eastAsia="Times New Roman" w:hAnsi="Lato" w:cs="Times New Roman"/>
          <w:b/>
          <w:bCs/>
          <w:color w:val="000000"/>
          <w:kern w:val="0"/>
          <w:sz w:val="23"/>
          <w:szCs w:val="23"/>
          <w:lang w:eastAsia="it-IT"/>
          <w14:ligatures w14:val="none"/>
        </w:rPr>
        <w:t>, in realtà avanzano molteplici critiche al modo in cui la Cassazione ha selezionato ed utilizzato il materiale normativo rilevante per la decisione o a come lo ha interpretato</w:t>
      </w:r>
      <w:r w:rsidRPr="006B348E">
        <w:rPr>
          <w:rFonts w:ascii="Lato" w:eastAsia="Times New Roman" w:hAnsi="Lato" w:cs="Times New Roman"/>
          <w:color w:val="000000"/>
          <w:kern w:val="0"/>
          <w:sz w:val="23"/>
          <w:szCs w:val="23"/>
          <w:lang w:eastAsia="it-IT"/>
          <w14:ligatures w14:val="none"/>
        </w:rPr>
        <w:t>; </w:t>
      </w:r>
    </w:p>
    <w:p w14:paraId="5629586A"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lastRenderedPageBreak/>
        <w:t>        che la vicenda processuale che ha originato il presente giudizio non appare ancora esaurita, e che, d’altra parte, il Parlamento può in qualsiasi momento adottare una specifica normativa della materia, fondata su adeguati punti di equilibrio fra i fondamentali beni costituzionali coinvolti; </w:t>
      </w:r>
    </w:p>
    <w:p w14:paraId="0B31C668"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che, pertanto, non sussiste il requisito oggettivo per l’instaurazione dei conflitti sollevati.</w:t>
      </w:r>
    </w:p>
    <w:p w14:paraId="0F954CD7" w14:textId="77777777" w:rsidR="006B348E" w:rsidRPr="006B348E" w:rsidRDefault="006B348E" w:rsidP="006B348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PER QUESTI MOTIVI</w:t>
      </w:r>
    </w:p>
    <w:p w14:paraId="6DB18B66" w14:textId="77777777" w:rsidR="006B348E" w:rsidRPr="006B348E" w:rsidRDefault="006B348E" w:rsidP="006B348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LA CORTE COSTITUZIONALE</w:t>
      </w:r>
    </w:p>
    <w:p w14:paraId="4F3DCA34"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riuniti i ricorsi,</w:t>
      </w:r>
    </w:p>
    <w:p w14:paraId="10831A5D"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i/>
          <w:iCs/>
          <w:color w:val="000000"/>
          <w:kern w:val="0"/>
          <w:sz w:val="23"/>
          <w:szCs w:val="23"/>
          <w:lang w:eastAsia="it-IT"/>
          <w14:ligatures w14:val="none"/>
        </w:rPr>
        <w:t>        dichiara</w:t>
      </w:r>
      <w:r w:rsidRPr="006B348E">
        <w:rPr>
          <w:rFonts w:ascii="Lato" w:eastAsia="Times New Roman" w:hAnsi="Lato" w:cs="Times New Roman"/>
          <w:color w:val="000000"/>
          <w:kern w:val="0"/>
          <w:sz w:val="23"/>
          <w:szCs w:val="23"/>
          <w:lang w:eastAsia="it-IT"/>
          <w14:ligatures w14:val="none"/>
        </w:rPr>
        <w:t> inammissibili, ai sensi dei commi terzo e quarto dell’art. 37 della legge 11 marzo 1953, n. 87, i ricorsi per conflitto di attribuzione sollevati dalla Camera dei deputati e dal Senato della Repubblica nei confronti della Corte di cassazione e della Corte di appello di Milano, di cui in epigrafe.</w:t>
      </w:r>
    </w:p>
    <w:p w14:paraId="109723BA"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         Così deciso in Roma, nella sede della Corte costituzionale, Palazzo della Consulta, il l'8 ottobre 2008.</w:t>
      </w:r>
    </w:p>
    <w:p w14:paraId="1142440E"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F.to:</w:t>
      </w:r>
    </w:p>
    <w:p w14:paraId="36398A61"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Franco BILE, Presidente</w:t>
      </w:r>
    </w:p>
    <w:p w14:paraId="587E750B" w14:textId="77777777" w:rsidR="006B348E" w:rsidRPr="006B348E" w:rsidRDefault="006B348E" w:rsidP="006B348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6B348E">
        <w:rPr>
          <w:rFonts w:ascii="Lato" w:eastAsia="Times New Roman" w:hAnsi="Lato" w:cs="Times New Roman"/>
          <w:color w:val="000000"/>
          <w:kern w:val="0"/>
          <w:sz w:val="23"/>
          <w:szCs w:val="23"/>
          <w:lang w:eastAsia="it-IT"/>
          <w14:ligatures w14:val="none"/>
        </w:rPr>
        <w:t>Ugo DE SIERVO, Redattore</w:t>
      </w:r>
    </w:p>
    <w:p w14:paraId="2CCFCB72"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8E"/>
    <w:rsid w:val="00187D19"/>
    <w:rsid w:val="004671F7"/>
    <w:rsid w:val="006B348E"/>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3EE7FDA"/>
  <w15:chartTrackingRefBased/>
  <w15:docId w15:val="{2D2606D6-E69E-8D4C-B2A6-D43A2EA7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6B348E"/>
  </w:style>
  <w:style w:type="paragraph" w:styleId="NormaleWeb">
    <w:name w:val="Normal (Web)"/>
    <w:basedOn w:val="Normale"/>
    <w:uiPriority w:val="99"/>
    <w:semiHidden/>
    <w:unhideWhenUsed/>
    <w:rsid w:val="006B348E"/>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6B3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2007/0150s-07.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iurcost.org/decisioni/2007/0222s-07.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urcost.org/decisioni/2007/0290s-07.html" TargetMode="External"/><Relationship Id="rId11" Type="http://schemas.openxmlformats.org/officeDocument/2006/relationships/hyperlink" Target="https://giurcost.org/decisioni/2007/0290s-07.html" TargetMode="External"/><Relationship Id="rId5" Type="http://schemas.openxmlformats.org/officeDocument/2006/relationships/hyperlink" Target="https://giurcost.org/decisioni/1999/0359o-99.html" TargetMode="External"/><Relationship Id="rId10" Type="http://schemas.openxmlformats.org/officeDocument/2006/relationships/hyperlink" Target="https://giurcost.org/decisioni/1999/0359o-99.html" TargetMode="External"/><Relationship Id="rId4" Type="http://schemas.openxmlformats.org/officeDocument/2006/relationships/hyperlink" Target="https://giurcost.org/decisioni/2005/0044o-05.html" TargetMode="External"/><Relationship Id="rId9" Type="http://schemas.openxmlformats.org/officeDocument/2006/relationships/hyperlink" Target="https://giurcost.org/decisioni/2007/0002s-07.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2023-09-29T16:32:00Z</dcterms:created>
  <dcterms:modified xsi:type="dcterms:W3CDTF">2023-09-29T16:35:00Z</dcterms:modified>
</cp:coreProperties>
</file>