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572AC" w14:textId="77777777" w:rsidR="00F115CE" w:rsidRPr="00F115CE" w:rsidRDefault="00F115CE" w:rsidP="00F115CE">
      <w:pPr>
        <w:shd w:val="clear" w:color="auto" w:fill="FFFFFF"/>
        <w:spacing w:after="150"/>
        <w:ind w:firstLine="300"/>
        <w:jc w:val="center"/>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Considerato in diritto</w:t>
      </w:r>
    </w:p>
    <w:p w14:paraId="149CF0A0"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 xml:space="preserve">1.– Con l’ordinanza indicata in epigrafe il GIP del Tribunale di Milano ha sollevato </w:t>
      </w:r>
      <w:r w:rsidRPr="00F115CE">
        <w:rPr>
          <w:rFonts w:ascii="Lato" w:eastAsia="Times New Roman" w:hAnsi="Lato" w:cs="Times New Roman"/>
          <w:color w:val="EE0000"/>
          <w:kern w:val="0"/>
          <w:sz w:val="23"/>
          <w:szCs w:val="23"/>
          <w:lang w:eastAsia="it-IT"/>
          <w14:ligatures w14:val="none"/>
        </w:rPr>
        <w:t xml:space="preserve">questioni di legittimità costituzionale dell’art. 580 cod. </w:t>
      </w:r>
      <w:proofErr w:type="spellStart"/>
      <w:r w:rsidRPr="00F115CE">
        <w:rPr>
          <w:rFonts w:ascii="Lato" w:eastAsia="Times New Roman" w:hAnsi="Lato" w:cs="Times New Roman"/>
          <w:color w:val="EE0000"/>
          <w:kern w:val="0"/>
          <w:sz w:val="23"/>
          <w:szCs w:val="23"/>
          <w:lang w:eastAsia="it-IT"/>
          <w14:ligatures w14:val="none"/>
        </w:rPr>
        <w:t>pen</w:t>
      </w:r>
      <w:proofErr w:type="spellEnd"/>
      <w:r w:rsidRPr="00F115CE">
        <w:rPr>
          <w:rFonts w:ascii="Lato" w:eastAsia="Times New Roman" w:hAnsi="Lato" w:cs="Times New Roman"/>
          <w:color w:val="EE0000"/>
          <w:kern w:val="0"/>
          <w:sz w:val="23"/>
          <w:szCs w:val="23"/>
          <w:lang w:eastAsia="it-IT"/>
          <w14:ligatures w14:val="none"/>
        </w:rPr>
        <w:t xml:space="preserve">., in riferimento agli artt. 2, 3, 13, 32, secondo comma, e 117, primo comma, Cost., quest’ultimo in relazione agli artt. 8 e 14 CEDU, </w:t>
      </w:r>
      <w:r w:rsidRPr="00F115CE">
        <w:rPr>
          <w:rFonts w:ascii="Lato" w:eastAsia="Times New Roman" w:hAnsi="Lato" w:cs="Times New Roman"/>
          <w:color w:val="000000"/>
          <w:kern w:val="0"/>
          <w:sz w:val="23"/>
          <w:szCs w:val="23"/>
          <w:lang w:eastAsia="it-IT"/>
          <w14:ligatures w14:val="none"/>
        </w:rPr>
        <w:t>«nella parte in cui prevede la punibilità della condotta di chi agevola l’altrui suicidio nella forma di aiuto al suicidio medicalmente assistito di persona non tenuta in vita a mezzo di trattamenti di sostegno vitale affetta da una patologia irreversibile fonte di sofferenze fisiche o psicologiche intollerabili che abbia manifestato la propria decisione, formatasi in modo libero e consapevole, di porre fine alla propria vita».</w:t>
      </w:r>
    </w:p>
    <w:p w14:paraId="63C7F02E"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In sostanza, il giudice a quo ripropone a questa Corte i dubbi – già dichiarati non fondati dalla </w:t>
      </w:r>
      <w:hyperlink r:id="rId4" w:tgtFrame="_blank" w:history="1">
        <w:r w:rsidRPr="00F115CE">
          <w:rPr>
            <w:rFonts w:ascii="Lato" w:eastAsia="Times New Roman" w:hAnsi="Lato" w:cs="Times New Roman"/>
            <w:color w:val="0E10A1"/>
            <w:kern w:val="0"/>
            <w:sz w:val="23"/>
            <w:szCs w:val="23"/>
            <w:u w:val="single"/>
            <w:shd w:val="clear" w:color="auto" w:fill="FBFB68"/>
            <w:lang w:eastAsia="it-IT"/>
            <w14:ligatures w14:val="none"/>
          </w:rPr>
          <w:t>sentenza n. 135 del 2024</w:t>
        </w:r>
      </w:hyperlink>
      <w:r w:rsidRPr="00F115CE">
        <w:rPr>
          <w:rFonts w:ascii="Lato" w:eastAsia="Times New Roman" w:hAnsi="Lato" w:cs="Times New Roman"/>
          <w:color w:val="000000"/>
          <w:kern w:val="0"/>
          <w:sz w:val="23"/>
          <w:szCs w:val="23"/>
          <w:lang w:eastAsia="it-IT"/>
          <w14:ligatures w14:val="none"/>
        </w:rPr>
        <w:t xml:space="preserve">, </w:t>
      </w:r>
      <w:r w:rsidRPr="00F115CE">
        <w:rPr>
          <w:rFonts w:ascii="Lato" w:eastAsia="Times New Roman" w:hAnsi="Lato" w:cs="Times New Roman"/>
          <w:color w:val="EE0000"/>
          <w:kern w:val="0"/>
          <w:sz w:val="23"/>
          <w:szCs w:val="23"/>
          <w:lang w:eastAsia="it-IT"/>
          <w14:ligatures w14:val="none"/>
        </w:rPr>
        <w:t>pubblicata successivamente al deposito dell’ordinanza di rimessione</w:t>
      </w:r>
      <w:r w:rsidRPr="00F115CE">
        <w:rPr>
          <w:rFonts w:ascii="Lato" w:eastAsia="Times New Roman" w:hAnsi="Lato" w:cs="Times New Roman"/>
          <w:color w:val="000000"/>
          <w:kern w:val="0"/>
          <w:sz w:val="23"/>
          <w:szCs w:val="23"/>
          <w:lang w:eastAsia="it-IT"/>
          <w14:ligatures w14:val="none"/>
        </w:rPr>
        <w:t xml:space="preserve"> – relativi alla compatibilità costituzionale del requisito della dipendenza del paziente da un trattamento di sostegno vitale, indicato dalla sentenza n. 242 del 2019 come una delle condizioni in presenza delle quali la condotta di aiuto al suicidio non può essere ritenuta punibile.</w:t>
      </w:r>
    </w:p>
    <w:p w14:paraId="08560E8C"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Rispetto però a quella che ha dato luogo alla </w:t>
      </w:r>
      <w:hyperlink r:id="rId5" w:tgtFrame="_blank" w:history="1">
        <w:r w:rsidRPr="00F115CE">
          <w:rPr>
            <w:rFonts w:ascii="Lato" w:eastAsia="Times New Roman" w:hAnsi="Lato" w:cs="Times New Roman"/>
            <w:color w:val="0E10A1"/>
            <w:kern w:val="0"/>
            <w:sz w:val="23"/>
            <w:szCs w:val="23"/>
            <w:u w:val="single"/>
            <w:shd w:val="clear" w:color="auto" w:fill="FBFB68"/>
            <w:lang w:eastAsia="it-IT"/>
            <w14:ligatures w14:val="none"/>
          </w:rPr>
          <w:t>sentenza n. 135 del 2024</w:t>
        </w:r>
      </w:hyperlink>
      <w:r w:rsidRPr="00F115CE">
        <w:rPr>
          <w:rFonts w:ascii="Lato" w:eastAsia="Times New Roman" w:hAnsi="Lato" w:cs="Times New Roman"/>
          <w:color w:val="000000"/>
          <w:kern w:val="0"/>
          <w:sz w:val="23"/>
          <w:szCs w:val="23"/>
          <w:lang w:eastAsia="it-IT"/>
          <w14:ligatures w14:val="none"/>
        </w:rPr>
        <w:t xml:space="preserve">, l’ordinanza ora esaminata </w:t>
      </w:r>
      <w:r w:rsidRPr="00F115CE">
        <w:rPr>
          <w:rFonts w:ascii="Lato" w:eastAsia="Times New Roman" w:hAnsi="Lato" w:cs="Times New Roman"/>
          <w:color w:val="EE0000"/>
          <w:kern w:val="0"/>
          <w:sz w:val="23"/>
          <w:szCs w:val="23"/>
          <w:lang w:eastAsia="it-IT"/>
          <w14:ligatures w14:val="none"/>
        </w:rPr>
        <w:t>muove dallo specifico presupposto interpretativo secondo cui il requisito in parola non sarebbe integrato nella situazione in cui il paziente rifiuti l’attivazione di un trattamento di sostegno vitale, pur in presenza di una indicazione medica in tal senso</w:t>
      </w:r>
      <w:r w:rsidRPr="00F115CE">
        <w:rPr>
          <w:rFonts w:ascii="Lato" w:eastAsia="Times New Roman" w:hAnsi="Lato" w:cs="Times New Roman"/>
          <w:color w:val="000000"/>
          <w:kern w:val="0"/>
          <w:sz w:val="23"/>
          <w:szCs w:val="23"/>
          <w:lang w:eastAsia="it-IT"/>
          <w14:ligatures w14:val="none"/>
        </w:rPr>
        <w:t>, allorché lo stesso paziente ritenga tale trattamento «futile o inutile in quanto espressivo di accanimento terapeutico».</w:t>
      </w:r>
    </w:p>
    <w:p w14:paraId="6878D1AC"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Ad avviso del rimettente, questa limitazione della possibilità di accesso al suicidio assistito contrasterebbe con il principio di eguaglianza di cui all’art. 3 Cost., irragionevolmente escludendo i pazienti che, essendo affetti da una patologia irreversibile, fonte di sofferenze fisiche o psicologiche intollerabili, ed essendo ancora capaci di assumere decisioni libere e consapevoli, abbiano deciso di non sottoporsi a trattamenti di sostegno vitale.</w:t>
      </w:r>
    </w:p>
    <w:p w14:paraId="7E1091E4"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Inoltre, il requisito in parola violerebbe il diritto all’autodeterminazione nelle scelte terapeutiche, riconosciuto dagli artt. 2, 13 e 32, secondo comma, Cost., imponendo al paziente «un’unica modalità di congedo [dalla] vita»: quella di iniziare un trattamento sanitario di sostegno vitale al solo scopo di poterlo poi interrompere.</w:t>
      </w:r>
    </w:p>
    <w:p w14:paraId="5CB9D2EF"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Infine, esso comprimerebbe senza adeguata giustificazione il diritto, riconosciuto dall’art. 8 CEDU, all’autodeterminazione del paziente, realizzando al contempo – in contrasto con l’art. 14 CEDU – una discriminazione tra pazienti basata su una condizione personale del tutto accidentale, dipendente dalla tipologia della malattia di cui il singolo paziente soffre.</w:t>
      </w:r>
    </w:p>
    <w:p w14:paraId="3B793C31" w14:textId="77777777" w:rsidR="00534926" w:rsidRDefault="00534926"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Pr>
          <w:rFonts w:ascii="Lato" w:eastAsia="Times New Roman" w:hAnsi="Lato" w:cs="Times New Roman"/>
          <w:color w:val="000000"/>
          <w:kern w:val="0"/>
          <w:sz w:val="23"/>
          <w:szCs w:val="23"/>
          <w:lang w:eastAsia="it-IT"/>
          <w14:ligatures w14:val="none"/>
        </w:rPr>
        <w:t>[…]</w:t>
      </w:r>
    </w:p>
    <w:p w14:paraId="722B1010" w14:textId="79E75A1E" w:rsidR="00F115CE" w:rsidRPr="00F115CE" w:rsidRDefault="00F115CE" w:rsidP="00F115CE">
      <w:pPr>
        <w:shd w:val="clear" w:color="auto" w:fill="FFFFFF"/>
        <w:spacing w:after="150"/>
        <w:ind w:firstLine="300"/>
        <w:jc w:val="both"/>
        <w:rPr>
          <w:rFonts w:ascii="Lato" w:eastAsia="Times New Roman" w:hAnsi="Lato" w:cs="Times New Roman"/>
          <w:color w:val="EE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 xml:space="preserve">4.– Ai fini dell’esame del merito delle questioni prospettate, occorre anzitutto </w:t>
      </w:r>
      <w:r w:rsidRPr="00F115CE">
        <w:rPr>
          <w:rFonts w:ascii="Lato" w:eastAsia="Times New Roman" w:hAnsi="Lato" w:cs="Times New Roman"/>
          <w:color w:val="EE0000"/>
          <w:kern w:val="0"/>
          <w:sz w:val="23"/>
          <w:szCs w:val="23"/>
          <w:lang w:eastAsia="it-IT"/>
          <w14:ligatures w14:val="none"/>
        </w:rPr>
        <w:t>precisarne l’oggetto.</w:t>
      </w:r>
    </w:p>
    <w:p w14:paraId="79143437"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4.1.– La difesa della parte ha, in particolare nella memoria illustrativa e nella discussione orale, argomentato che l’odierna ordinanza di rimessione porrebbe problemi giuridici nuovi e, comunque, diversi da quelli già affrontati nelle precedenti </w:t>
      </w:r>
      <w:hyperlink r:id="rId6" w:tgtFrame="_blank" w:history="1">
        <w:r w:rsidRPr="00F115CE">
          <w:rPr>
            <w:rFonts w:ascii="Lato" w:eastAsia="Times New Roman" w:hAnsi="Lato" w:cs="Times New Roman"/>
            <w:color w:val="0E10A1"/>
            <w:kern w:val="0"/>
            <w:sz w:val="23"/>
            <w:szCs w:val="23"/>
            <w:u w:val="single"/>
            <w:shd w:val="clear" w:color="auto" w:fill="FBFB68"/>
            <w:lang w:eastAsia="it-IT"/>
            <w14:ligatures w14:val="none"/>
          </w:rPr>
          <w:t>sentenze n. 242 del 2019</w:t>
        </w:r>
      </w:hyperlink>
      <w:r w:rsidRPr="00F115CE">
        <w:rPr>
          <w:rFonts w:ascii="Lato" w:eastAsia="Times New Roman" w:hAnsi="Lato" w:cs="Times New Roman"/>
          <w:color w:val="000000"/>
          <w:kern w:val="0"/>
          <w:sz w:val="23"/>
          <w:szCs w:val="23"/>
          <w:lang w:eastAsia="it-IT"/>
          <w14:ligatures w14:val="none"/>
        </w:rPr>
        <w:t> e </w:t>
      </w:r>
      <w:hyperlink r:id="rId7" w:tgtFrame="_blank" w:history="1">
        <w:r w:rsidRPr="00F115CE">
          <w:rPr>
            <w:rFonts w:ascii="Lato" w:eastAsia="Times New Roman" w:hAnsi="Lato" w:cs="Times New Roman"/>
            <w:color w:val="0E10A1"/>
            <w:kern w:val="0"/>
            <w:sz w:val="23"/>
            <w:szCs w:val="23"/>
            <w:u w:val="single"/>
            <w:shd w:val="clear" w:color="auto" w:fill="FBFB68"/>
            <w:lang w:eastAsia="it-IT"/>
            <w14:ligatures w14:val="none"/>
          </w:rPr>
          <w:t>n. 135 del 2024</w:t>
        </w:r>
      </w:hyperlink>
      <w:r w:rsidRPr="00F115CE">
        <w:rPr>
          <w:rFonts w:ascii="Lato" w:eastAsia="Times New Roman" w:hAnsi="Lato" w:cs="Times New Roman"/>
          <w:color w:val="000000"/>
          <w:kern w:val="0"/>
          <w:sz w:val="23"/>
          <w:szCs w:val="23"/>
          <w:lang w:eastAsia="it-IT"/>
          <w14:ligatures w14:val="none"/>
        </w:rPr>
        <w:t xml:space="preserve">. </w:t>
      </w:r>
      <w:r w:rsidRPr="00F115CE">
        <w:rPr>
          <w:rFonts w:ascii="Lato" w:eastAsia="Times New Roman" w:hAnsi="Lato" w:cs="Times New Roman"/>
          <w:color w:val="EE0000"/>
          <w:kern w:val="0"/>
          <w:sz w:val="23"/>
          <w:szCs w:val="23"/>
          <w:lang w:eastAsia="it-IT"/>
          <w14:ligatures w14:val="none"/>
        </w:rPr>
        <w:t>Essi si riferirebbero alla specifica situazione di pazienti «con prognosi infausta a breve termine</w:t>
      </w:r>
      <w:r w:rsidRPr="00F115CE">
        <w:rPr>
          <w:rFonts w:ascii="Lato" w:eastAsia="Times New Roman" w:hAnsi="Lato" w:cs="Times New Roman"/>
          <w:color w:val="000000"/>
          <w:kern w:val="0"/>
          <w:sz w:val="23"/>
          <w:szCs w:val="23"/>
          <w:lang w:eastAsia="it-IT"/>
          <w14:ligatures w14:val="none"/>
        </w:rPr>
        <w:t>» ai sensi dell’art. 2, comma 2, della legge n. 219 del 2017, rispetto ai quali non sarebbero (ancora) medicalmente indicati trattamenti di sostegno vitale, né la sedazione palliativa profonda continua (che presuppone, ai sensi del secondo periodo dello stesso art. 2, comma 2, della legge n. 219 del 2017, la presenza di «sofferenze refrattarie ai trattamenti sanitari»).</w:t>
      </w:r>
    </w:p>
    <w:p w14:paraId="17240C4E"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 xml:space="preserve">Tali pazienti, tra i quali si annoverano quelli </w:t>
      </w:r>
      <w:r w:rsidRPr="00F115CE">
        <w:rPr>
          <w:rFonts w:ascii="Lato" w:eastAsia="Times New Roman" w:hAnsi="Lato" w:cs="Times New Roman"/>
          <w:color w:val="EE0000"/>
          <w:kern w:val="0"/>
          <w:sz w:val="23"/>
          <w:szCs w:val="23"/>
          <w:lang w:eastAsia="it-IT"/>
          <w14:ligatures w14:val="none"/>
        </w:rPr>
        <w:t>affetti da patologie oncologiche in stato avanzato</w:t>
      </w:r>
      <w:r w:rsidRPr="00F115CE">
        <w:rPr>
          <w:rFonts w:ascii="Lato" w:eastAsia="Times New Roman" w:hAnsi="Lato" w:cs="Times New Roman"/>
          <w:color w:val="000000"/>
          <w:kern w:val="0"/>
          <w:sz w:val="23"/>
          <w:szCs w:val="23"/>
          <w:lang w:eastAsia="it-IT"/>
          <w14:ligatures w14:val="none"/>
        </w:rPr>
        <w:t xml:space="preserve">, potrebbero ormai – secondo la difesa della parte – essere trattati soltanto attraverso terapie palliative, stante tra l’altro il divieto – posto dalla citata disposizione – di «ogni ostinazione </w:t>
      </w:r>
      <w:r w:rsidRPr="00F115CE">
        <w:rPr>
          <w:rFonts w:ascii="Lato" w:eastAsia="Times New Roman" w:hAnsi="Lato" w:cs="Times New Roman"/>
          <w:color w:val="000000"/>
          <w:kern w:val="0"/>
          <w:sz w:val="23"/>
          <w:szCs w:val="23"/>
          <w:lang w:eastAsia="it-IT"/>
          <w14:ligatures w14:val="none"/>
        </w:rPr>
        <w:lastRenderedPageBreak/>
        <w:t>irragionevole nella somministrazione delle cure» e di «ricorso a trattamenti inutili o sproporzionati».</w:t>
      </w:r>
    </w:p>
    <w:p w14:paraId="5CF8DC95" w14:textId="77777777" w:rsidR="00F115CE" w:rsidRPr="00F115CE" w:rsidRDefault="00F115CE" w:rsidP="00F115CE">
      <w:pPr>
        <w:shd w:val="clear" w:color="auto" w:fill="FFFFFF"/>
        <w:spacing w:after="150"/>
        <w:ind w:firstLine="300"/>
        <w:jc w:val="both"/>
        <w:rPr>
          <w:rFonts w:ascii="Lato" w:eastAsia="Times New Roman" w:hAnsi="Lato" w:cs="Times New Roman"/>
          <w:color w:val="EE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 xml:space="preserve">Sarebbe </w:t>
      </w:r>
      <w:r w:rsidRPr="00F115CE">
        <w:rPr>
          <w:rFonts w:ascii="Lato" w:eastAsia="Times New Roman" w:hAnsi="Lato" w:cs="Times New Roman"/>
          <w:color w:val="EE0000"/>
          <w:kern w:val="0"/>
          <w:sz w:val="23"/>
          <w:szCs w:val="23"/>
          <w:lang w:eastAsia="it-IT"/>
          <w14:ligatures w14:val="none"/>
        </w:rPr>
        <w:t>quindi irragionevole costringere tali pazienti ad attendere, per accedere al suicidio assistito, il momento in cui l’avanzare della malattia renda indicata l’attivazione di trattamenti di sostegno vitale.</w:t>
      </w:r>
    </w:p>
    <w:p w14:paraId="52332E93" w14:textId="77777777" w:rsidR="00F115CE" w:rsidRPr="00F115CE" w:rsidRDefault="00F115CE" w:rsidP="00F115CE">
      <w:pPr>
        <w:shd w:val="clear" w:color="auto" w:fill="FFFFFF"/>
        <w:spacing w:after="150"/>
        <w:ind w:firstLine="300"/>
        <w:jc w:val="both"/>
        <w:rPr>
          <w:rFonts w:ascii="Lato" w:eastAsia="Times New Roman" w:hAnsi="Lato" w:cs="Times New Roman"/>
          <w:color w:val="EE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Conseguentemente, la medesima ratio che sorregge la </w:t>
      </w:r>
      <w:hyperlink r:id="rId8" w:tgtFrame="_blank" w:history="1">
        <w:r w:rsidRPr="00F115CE">
          <w:rPr>
            <w:rFonts w:ascii="Lato" w:eastAsia="Times New Roman" w:hAnsi="Lato" w:cs="Times New Roman"/>
            <w:color w:val="0E10A1"/>
            <w:kern w:val="0"/>
            <w:sz w:val="23"/>
            <w:szCs w:val="23"/>
            <w:u w:val="single"/>
            <w:shd w:val="clear" w:color="auto" w:fill="FBFB68"/>
            <w:lang w:eastAsia="it-IT"/>
            <w14:ligatures w14:val="none"/>
          </w:rPr>
          <w:t>sentenza n. 242 del 2019</w:t>
        </w:r>
      </w:hyperlink>
      <w:r w:rsidRPr="00F115CE">
        <w:rPr>
          <w:rFonts w:ascii="Lato" w:eastAsia="Times New Roman" w:hAnsi="Lato" w:cs="Times New Roman"/>
          <w:color w:val="000000"/>
          <w:kern w:val="0"/>
          <w:sz w:val="23"/>
          <w:szCs w:val="23"/>
          <w:lang w:eastAsia="it-IT"/>
          <w14:ligatures w14:val="none"/>
        </w:rPr>
        <w:t xml:space="preserve"> dovrebbe indurre questa Corte a riconoscere una nuova e diversa ipotesi di non punibilità dell’aiuto al suicidio, caratterizzata dalla presenza, oltre che dei requisiti "procedurali”, dei tre requisiti sostanziali della patologia irreversibile, delle sofferenze fisiche o psicologiche intollerabili e della capacità di assumere decisioni libere e consapevoli, di un </w:t>
      </w:r>
      <w:r w:rsidRPr="00F115CE">
        <w:rPr>
          <w:rFonts w:ascii="Lato" w:eastAsia="Times New Roman" w:hAnsi="Lato" w:cs="Times New Roman"/>
          <w:color w:val="EE0000"/>
          <w:kern w:val="0"/>
          <w:sz w:val="23"/>
          <w:szCs w:val="23"/>
          <w:lang w:eastAsia="it-IT"/>
          <w14:ligatures w14:val="none"/>
        </w:rPr>
        <w:t>ulteriore requisito alternativo rispetto all’essere il paziente tenuto in vita da trattamenti di sostegno vitale, rappresentato – per l’appunto – dalla «prognosi infausta a breve termine».</w:t>
      </w:r>
    </w:p>
    <w:p w14:paraId="108E8D34"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In questa situazione, infatti, il paziente avrebbe il diritto di rifiutare le terapie palliative, unicamente finalizzate a lenire i sintomi della malattia, e di decidere invece di concludere subito la vita secondo la propria visione della dignità personale.</w:t>
      </w:r>
    </w:p>
    <w:p w14:paraId="47CBC886"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 xml:space="preserve">4.2.– </w:t>
      </w:r>
      <w:r w:rsidRPr="00F115CE">
        <w:rPr>
          <w:rFonts w:ascii="Lato" w:eastAsia="Times New Roman" w:hAnsi="Lato" w:cs="Times New Roman"/>
          <w:color w:val="EE0000"/>
          <w:kern w:val="0"/>
          <w:sz w:val="23"/>
          <w:szCs w:val="23"/>
          <w:lang w:eastAsia="it-IT"/>
          <w14:ligatures w14:val="none"/>
        </w:rPr>
        <w:t>La prospettazione appena riferita non corrisponde, tuttavia, a quella articolata nell’ordinanza di rimessione</w:t>
      </w:r>
      <w:r w:rsidRPr="00F115CE">
        <w:rPr>
          <w:rFonts w:ascii="Lato" w:eastAsia="Times New Roman" w:hAnsi="Lato" w:cs="Times New Roman"/>
          <w:color w:val="000000"/>
          <w:kern w:val="0"/>
          <w:sz w:val="23"/>
          <w:szCs w:val="23"/>
          <w:lang w:eastAsia="it-IT"/>
          <w14:ligatures w14:val="none"/>
        </w:rPr>
        <w:t xml:space="preserve">: la quale non auspica che al requisito dell’essere il paziente tenuto in vita da un trattamento di sostegno vitale sia affiancato quello, alternativo, della prognosi infausta a breve termine; ma argomenta, invece, nel senso della </w:t>
      </w:r>
      <w:r w:rsidRPr="00F115CE">
        <w:rPr>
          <w:rFonts w:ascii="Lato" w:eastAsia="Times New Roman" w:hAnsi="Lato" w:cs="Times New Roman"/>
          <w:color w:val="EE0000"/>
          <w:kern w:val="0"/>
          <w:sz w:val="23"/>
          <w:szCs w:val="23"/>
          <w:lang w:eastAsia="it-IT"/>
          <w14:ligatures w14:val="none"/>
        </w:rPr>
        <w:t>necessità di eliminare tout court il requisito della dipendenza da trattamento di sostegno vitale</w:t>
      </w:r>
      <w:r w:rsidRPr="00F115CE">
        <w:rPr>
          <w:rFonts w:ascii="Lato" w:eastAsia="Times New Roman" w:hAnsi="Lato" w:cs="Times New Roman"/>
          <w:color w:val="000000"/>
          <w:kern w:val="0"/>
          <w:sz w:val="23"/>
          <w:szCs w:val="23"/>
          <w:lang w:eastAsia="it-IT"/>
          <w14:ligatures w14:val="none"/>
        </w:rPr>
        <w:t>. Ciò in quanto tale requisito non consentirebbe – irragionevolmente, a giudizio del rimettente – l’accesso al suicidio assistito di pazienti che abbiano rifiutato un trattamento di sostegno vitale, ritenendolo inutile o sproporzionato.</w:t>
      </w:r>
    </w:p>
    <w:p w14:paraId="6FD8A534"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 xml:space="preserve">Questa Corte è tenuta, dunque, a fornire risposta unicamente alle censure formulate nell’ordinanza di rimessione, che sono del resto assai precise nell’individuazione del requisito relativo al trattamento di sostegno vitale, risultante dall’integrazione dell’art. 580 cod. </w:t>
      </w:r>
      <w:proofErr w:type="spellStart"/>
      <w:r w:rsidRPr="00F115CE">
        <w:rPr>
          <w:rFonts w:ascii="Lato" w:eastAsia="Times New Roman" w:hAnsi="Lato" w:cs="Times New Roman"/>
          <w:color w:val="000000"/>
          <w:kern w:val="0"/>
          <w:sz w:val="23"/>
          <w:szCs w:val="23"/>
          <w:lang w:eastAsia="it-IT"/>
          <w14:ligatures w14:val="none"/>
        </w:rPr>
        <w:t>pen</w:t>
      </w:r>
      <w:proofErr w:type="spellEnd"/>
      <w:r w:rsidRPr="00F115CE">
        <w:rPr>
          <w:rFonts w:ascii="Lato" w:eastAsia="Times New Roman" w:hAnsi="Lato" w:cs="Times New Roman"/>
          <w:color w:val="000000"/>
          <w:kern w:val="0"/>
          <w:sz w:val="23"/>
          <w:szCs w:val="23"/>
          <w:lang w:eastAsia="it-IT"/>
          <w14:ligatures w14:val="none"/>
        </w:rPr>
        <w:t>. operata dalla precedente sentenza n. 242 del 2019, del quale si chiede la radicale ablazione.</w:t>
      </w:r>
    </w:p>
    <w:p w14:paraId="6546A4A3"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 xml:space="preserve">5.– Tali censure ruotano attorno al presupposto interpretativo secondo cui </w:t>
      </w:r>
      <w:r w:rsidRPr="00F115CE">
        <w:rPr>
          <w:rFonts w:ascii="Lato" w:eastAsia="Times New Roman" w:hAnsi="Lato" w:cs="Times New Roman"/>
          <w:color w:val="EE0000"/>
          <w:kern w:val="0"/>
          <w:sz w:val="23"/>
          <w:szCs w:val="23"/>
          <w:lang w:eastAsia="it-IT"/>
          <w14:ligatures w14:val="none"/>
        </w:rPr>
        <w:t>l’area di non punibilità sancita dalla </w:t>
      </w:r>
      <w:hyperlink r:id="rId9" w:tgtFrame="_blank" w:history="1">
        <w:r w:rsidRPr="00F115CE">
          <w:rPr>
            <w:rFonts w:ascii="Lato" w:eastAsia="Times New Roman" w:hAnsi="Lato" w:cs="Times New Roman"/>
            <w:color w:val="EE0000"/>
            <w:kern w:val="0"/>
            <w:sz w:val="23"/>
            <w:szCs w:val="23"/>
            <w:u w:val="single"/>
            <w:shd w:val="clear" w:color="auto" w:fill="FBFB68"/>
            <w:lang w:eastAsia="it-IT"/>
            <w14:ligatures w14:val="none"/>
          </w:rPr>
          <w:t>sentenza n. 242 del 2019</w:t>
        </w:r>
      </w:hyperlink>
      <w:r w:rsidRPr="00F115CE">
        <w:rPr>
          <w:rFonts w:ascii="Lato" w:eastAsia="Times New Roman" w:hAnsi="Lato" w:cs="Times New Roman"/>
          <w:color w:val="EE0000"/>
          <w:kern w:val="0"/>
          <w:sz w:val="23"/>
          <w:szCs w:val="23"/>
          <w:lang w:eastAsia="it-IT"/>
          <w14:ligatures w14:val="none"/>
        </w:rPr>
        <w:t> non si estenderebbe alla situazione in cui il paziente rifiuti l’attivazione di un trattamento di sostegno vitale,</w:t>
      </w:r>
      <w:r w:rsidRPr="00F115CE">
        <w:rPr>
          <w:rFonts w:ascii="Lato" w:eastAsia="Times New Roman" w:hAnsi="Lato" w:cs="Times New Roman"/>
          <w:color w:val="000000"/>
          <w:kern w:val="0"/>
          <w:sz w:val="23"/>
          <w:szCs w:val="23"/>
          <w:lang w:eastAsia="it-IT"/>
          <w14:ligatures w14:val="none"/>
        </w:rPr>
        <w:t xml:space="preserve"> pur in presenza di una indicazione medica in tal senso, in quanto da lui ritenuto «futile» o comunque «espressivo di accanimento terapeutico».</w:t>
      </w:r>
    </w:p>
    <w:p w14:paraId="6226FEDE"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EE0000"/>
          <w:kern w:val="0"/>
          <w:sz w:val="23"/>
          <w:szCs w:val="23"/>
          <w:lang w:eastAsia="it-IT"/>
          <w14:ligatures w14:val="none"/>
        </w:rPr>
        <w:t>Questo presupposto ermeneutico, tuttavia, non è corretto</w:t>
      </w:r>
      <w:r w:rsidRPr="00F115CE">
        <w:rPr>
          <w:rFonts w:ascii="Lato" w:eastAsia="Times New Roman" w:hAnsi="Lato" w:cs="Times New Roman"/>
          <w:color w:val="000000"/>
          <w:kern w:val="0"/>
          <w:sz w:val="23"/>
          <w:szCs w:val="23"/>
          <w:lang w:eastAsia="it-IT"/>
          <w14:ligatures w14:val="none"/>
        </w:rPr>
        <w:t>, alla luce di quanto espressamente argomentato nella </w:t>
      </w:r>
      <w:hyperlink r:id="rId10" w:tgtFrame="_blank" w:history="1">
        <w:r w:rsidRPr="00F115CE">
          <w:rPr>
            <w:rFonts w:ascii="Lato" w:eastAsia="Times New Roman" w:hAnsi="Lato" w:cs="Times New Roman"/>
            <w:color w:val="0E10A1"/>
            <w:kern w:val="0"/>
            <w:sz w:val="23"/>
            <w:szCs w:val="23"/>
            <w:u w:val="single"/>
            <w:shd w:val="clear" w:color="auto" w:fill="FBFB68"/>
            <w:lang w:eastAsia="it-IT"/>
            <w14:ligatures w14:val="none"/>
          </w:rPr>
          <w:t>sentenza n. 135 del 2024</w:t>
        </w:r>
      </w:hyperlink>
      <w:r w:rsidRPr="00F115CE">
        <w:rPr>
          <w:rFonts w:ascii="Lato" w:eastAsia="Times New Roman" w:hAnsi="Lato" w:cs="Times New Roman"/>
          <w:color w:val="000000"/>
          <w:kern w:val="0"/>
          <w:sz w:val="23"/>
          <w:szCs w:val="23"/>
          <w:lang w:eastAsia="it-IT"/>
          <w14:ligatures w14:val="none"/>
        </w:rPr>
        <w:t>.</w:t>
      </w:r>
    </w:p>
    <w:p w14:paraId="0D0C7BF2"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5.1.– Al punto 7.2. del Considerato in diritto di tale pronuncia, questa Corte ha in effetti replicato a un argomento dell’allora rimettente, il quale già lamentava che il requisito in parola condizionasse «in modo perverso» l’esercizio del diritto all’autodeterminazione del paziente, inducendolo «ad accettare di sottoporsi a trattamenti di sostegno vitale, magari anche fortemente invasivi, che altrimenti avrebbe rifiutato, al solo fine di creare le condizioni per l’accesso al suicidio assistito».</w:t>
      </w:r>
    </w:p>
    <w:p w14:paraId="32FB989B"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 xml:space="preserve">«In senso contrario» si è osservato, in quell’occasione, che «il diritto fondamentale scaturente dagli artt. 2, 13 e 32, secondo comma, Cost., di fronte al quale questa Corte ha ritenuto non giustificabile sul piano costituzionale un divieto assoluto di aiuto al suicidio, comprende anche – prima ancora del diritto a interrompere i trattamenti sanitari in corso, benché necessari alla sopravvivenza – quello di rifiutare ab origine l’attivazione dei trattamenti stessi. Dal punto di vista costituzionale, non vi può essere, dunque, distinzione tra la situazione del paziente già sottoposto </w:t>
      </w:r>
      <w:r w:rsidRPr="00F115CE">
        <w:rPr>
          <w:rFonts w:ascii="Lato" w:eastAsia="Times New Roman" w:hAnsi="Lato" w:cs="Times New Roman"/>
          <w:color w:val="000000"/>
          <w:kern w:val="0"/>
          <w:sz w:val="23"/>
          <w:szCs w:val="23"/>
          <w:lang w:eastAsia="it-IT"/>
          <w14:ligatures w14:val="none"/>
        </w:rPr>
        <w:lastRenderedPageBreak/>
        <w:t>a trattamenti di sostegno vitale, di cui può pretendere l’interruzione, e quella del paziente che, per sopravvivere, necessiti, in base a valutazione medica, dell’attivazione di simili trattamenti, che però può rifiutare: nell’uno e nell’altro caso, la Costituzione e, in ossequio ad essa, la legge ordinaria (art. 1, comma 5, della legge n. 219 del 2017) riconoscono al malato il diritto di scegliere di congedarsi dalla vita con effetti vincolanti nei confronti dei terzi».</w:t>
      </w:r>
    </w:p>
    <w:p w14:paraId="791A33CB"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Di qui la conclusione: «[n]on c’è dubbio, pertanto, che i principi affermati nella </w:t>
      </w:r>
      <w:hyperlink r:id="rId11" w:tgtFrame="_blank" w:history="1">
        <w:r w:rsidRPr="00F115CE">
          <w:rPr>
            <w:rFonts w:ascii="Lato" w:eastAsia="Times New Roman" w:hAnsi="Lato" w:cs="Times New Roman"/>
            <w:color w:val="0E10A1"/>
            <w:kern w:val="0"/>
            <w:sz w:val="23"/>
            <w:szCs w:val="23"/>
            <w:u w:val="single"/>
            <w:shd w:val="clear" w:color="auto" w:fill="FBFB68"/>
            <w:lang w:eastAsia="it-IT"/>
            <w14:ligatures w14:val="none"/>
          </w:rPr>
          <w:t>sentenza n. 242 del 2019</w:t>
        </w:r>
      </w:hyperlink>
      <w:r w:rsidRPr="00F115CE">
        <w:rPr>
          <w:rFonts w:ascii="Lato" w:eastAsia="Times New Roman" w:hAnsi="Lato" w:cs="Times New Roman"/>
          <w:color w:val="000000"/>
          <w:kern w:val="0"/>
          <w:sz w:val="23"/>
          <w:szCs w:val="23"/>
          <w:lang w:eastAsia="it-IT"/>
          <w14:ligatures w14:val="none"/>
        </w:rPr>
        <w:t> valgano per entrambe le ipotesi. Sarebbe, del resto, paradossale che il paziente debba accettare di sottoporsi a trattamenti di sostegno vitale solo per interromperli quanto prima, essendo la sua volontà quella di accedere al suicidio assistito».</w:t>
      </w:r>
    </w:p>
    <w:p w14:paraId="7D41E981"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5.2.– Queste affermazioni meritano, oggi, integrale conferma. Conseguentemente, nella misura in cui sussista una indicazione medica di necessità dell’attivazione di un trattamento di sostegno vitale – nel senso precisato dalla </w:t>
      </w:r>
      <w:hyperlink r:id="rId12" w:tgtFrame="_blank" w:history="1">
        <w:r w:rsidRPr="00F115CE">
          <w:rPr>
            <w:rFonts w:ascii="Lato" w:eastAsia="Times New Roman" w:hAnsi="Lato" w:cs="Times New Roman"/>
            <w:color w:val="0E10A1"/>
            <w:kern w:val="0"/>
            <w:sz w:val="23"/>
            <w:szCs w:val="23"/>
            <w:u w:val="single"/>
            <w:shd w:val="clear" w:color="auto" w:fill="FBFB68"/>
            <w:lang w:eastAsia="it-IT"/>
            <w14:ligatures w14:val="none"/>
          </w:rPr>
          <w:t>sentenza n. 135 del 2024</w:t>
        </w:r>
      </w:hyperlink>
      <w:r w:rsidRPr="00F115CE">
        <w:rPr>
          <w:rFonts w:ascii="Lato" w:eastAsia="Times New Roman" w:hAnsi="Lato" w:cs="Times New Roman"/>
          <w:color w:val="000000"/>
          <w:kern w:val="0"/>
          <w:sz w:val="23"/>
          <w:szCs w:val="23"/>
          <w:lang w:eastAsia="it-IT"/>
          <w14:ligatures w14:val="none"/>
        </w:rPr>
        <w:t>, al punto 8 del Considerato in diritto –, il paziente può rifiutarlo e accedere al suicidio assistito, ovviamente laddove sussistano tutti gli altri requisiti sostanziali e procedurali indicati dalla s</w:t>
      </w:r>
      <w:hyperlink r:id="rId13" w:tgtFrame="_blank" w:history="1">
        <w:r w:rsidRPr="00F115CE">
          <w:rPr>
            <w:rFonts w:ascii="Lato" w:eastAsia="Times New Roman" w:hAnsi="Lato" w:cs="Times New Roman"/>
            <w:color w:val="0E10A1"/>
            <w:kern w:val="0"/>
            <w:sz w:val="23"/>
            <w:szCs w:val="23"/>
            <w:u w:val="single"/>
            <w:shd w:val="clear" w:color="auto" w:fill="FBFB68"/>
            <w:lang w:eastAsia="it-IT"/>
            <w14:ligatures w14:val="none"/>
          </w:rPr>
          <w:t>entenza n. 242 del 2019</w:t>
        </w:r>
      </w:hyperlink>
      <w:r w:rsidRPr="00F115CE">
        <w:rPr>
          <w:rFonts w:ascii="Lato" w:eastAsia="Times New Roman" w:hAnsi="Lato" w:cs="Times New Roman"/>
          <w:color w:val="000000"/>
          <w:kern w:val="0"/>
          <w:sz w:val="23"/>
          <w:szCs w:val="23"/>
          <w:lang w:eastAsia="it-IT"/>
          <w14:ligatures w14:val="none"/>
        </w:rPr>
        <w:t>.</w:t>
      </w:r>
    </w:p>
    <w:p w14:paraId="64A7F651"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Spetterà dunque al giudice a quo valutare se la situazione descritta sussistesse rispetto ai due pazienti il cui suicidio sarebbe stato agevolato dall’indagato.</w:t>
      </w:r>
    </w:p>
    <w:p w14:paraId="1AA17664"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6.– Ciò precisato, le censure del rimettente debbono essere ritenute infondate, sostanzialmente per le medesime ragioni poste a base della </w:t>
      </w:r>
      <w:hyperlink r:id="rId14" w:tgtFrame="_blank" w:history="1">
        <w:r w:rsidRPr="00F115CE">
          <w:rPr>
            <w:rFonts w:ascii="Lato" w:eastAsia="Times New Roman" w:hAnsi="Lato" w:cs="Times New Roman"/>
            <w:color w:val="0E10A1"/>
            <w:kern w:val="0"/>
            <w:sz w:val="23"/>
            <w:szCs w:val="23"/>
            <w:u w:val="single"/>
            <w:shd w:val="clear" w:color="auto" w:fill="FBFB68"/>
            <w:lang w:eastAsia="it-IT"/>
            <w14:ligatures w14:val="none"/>
          </w:rPr>
          <w:t>sentenza n. 135 del 2024</w:t>
        </w:r>
      </w:hyperlink>
      <w:r w:rsidRPr="00F115CE">
        <w:rPr>
          <w:rFonts w:ascii="Lato" w:eastAsia="Times New Roman" w:hAnsi="Lato" w:cs="Times New Roman"/>
          <w:color w:val="000000"/>
          <w:kern w:val="0"/>
          <w:sz w:val="23"/>
          <w:szCs w:val="23"/>
          <w:lang w:eastAsia="it-IT"/>
          <w14:ligatures w14:val="none"/>
        </w:rPr>
        <w:t>, che questa Corte ritiene di dovere qui integralmente confermare.</w:t>
      </w:r>
    </w:p>
    <w:p w14:paraId="3F47A28F"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6.1.– A proposito dell’asserita lesione del principio di eguaglianza di cui all’art. 3 Cost., il rimettente considera irragionevole la disparità di disciplina tra il paziente che abbia accesso al suicidio assistito, essendo già sottoposto a trattamenti di sostegno vitale, e quello che invece tali trattamenti abbia rifiutato, nonostante un’indicazione medica in tal senso, ritenendoli comunque futili o espressivi di accanimento terapeutico.</w:t>
      </w:r>
    </w:p>
    <w:p w14:paraId="3A3425AF"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In realtà, la lamentata disparità non sussiste, ove si consideri che anche nella seconda situazione il paziente ben può rifiutare il trattamento indicato quale clinicamente necessario per l’espletamento delle sue funzioni vitali, trovandosi così anch’egli nella condizione di avere accesso al suicidio assistito.</w:t>
      </w:r>
    </w:p>
    <w:p w14:paraId="7D968D54"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Laddove invece il paziente non si trovi in tale condizione e decida di rifiutare trattamenti (terapeutici o palliativi) che non possono essere considerati «</w:t>
      </w:r>
      <w:proofErr w:type="spellStart"/>
      <w:r w:rsidRPr="00F115CE">
        <w:rPr>
          <w:rFonts w:ascii="Lato" w:eastAsia="Times New Roman" w:hAnsi="Lato" w:cs="Times New Roman"/>
          <w:color w:val="000000"/>
          <w:kern w:val="0"/>
          <w:sz w:val="23"/>
          <w:szCs w:val="23"/>
          <w:lang w:eastAsia="it-IT"/>
          <w14:ligatures w14:val="none"/>
        </w:rPr>
        <w:t>necessar</w:t>
      </w:r>
      <w:proofErr w:type="spellEnd"/>
      <w:r w:rsidRPr="00F115CE">
        <w:rPr>
          <w:rFonts w:ascii="Lato" w:eastAsia="Times New Roman" w:hAnsi="Lato" w:cs="Times New Roman"/>
          <w:color w:val="000000"/>
          <w:kern w:val="0"/>
          <w:sz w:val="23"/>
          <w:szCs w:val="23"/>
          <w:lang w:eastAsia="it-IT"/>
          <w14:ligatures w14:val="none"/>
        </w:rPr>
        <w:t>[i] ad assicurare l’espletamento di funzioni vitali del paziente» – in quanto l’omissione o interruzione degli stessi non «determinerebbe prevedibilmente la morte del paziente in un breve lasso di tempo» – la diversità di disciplina rispetto ai pazienti che hanno accesso al suicidio assistito dovrà essere considerata non irragionevole, per le medesime considerazioni già esplicitate da questa Corte nella </w:t>
      </w:r>
      <w:hyperlink r:id="rId15" w:tgtFrame="_blank" w:history="1">
        <w:r w:rsidRPr="00F115CE">
          <w:rPr>
            <w:rFonts w:ascii="Lato" w:eastAsia="Times New Roman" w:hAnsi="Lato" w:cs="Times New Roman"/>
            <w:color w:val="0E10A1"/>
            <w:kern w:val="0"/>
            <w:sz w:val="23"/>
            <w:szCs w:val="23"/>
            <w:u w:val="single"/>
            <w:shd w:val="clear" w:color="auto" w:fill="FBFB68"/>
            <w:lang w:eastAsia="it-IT"/>
            <w14:ligatures w14:val="none"/>
          </w:rPr>
          <w:t>sentenza n. 135 del 2024</w:t>
        </w:r>
      </w:hyperlink>
      <w:r w:rsidRPr="00F115CE">
        <w:rPr>
          <w:rFonts w:ascii="Lato" w:eastAsia="Times New Roman" w:hAnsi="Lato" w:cs="Times New Roman"/>
          <w:color w:val="000000"/>
          <w:kern w:val="0"/>
          <w:sz w:val="23"/>
          <w:szCs w:val="23"/>
          <w:lang w:eastAsia="it-IT"/>
          <w14:ligatures w14:val="none"/>
        </w:rPr>
        <w:t> (punto 7.1. del Considerato in diritto) in riferimento alla censura di violazione dell’art. 3 Cost. allora formulata.</w:t>
      </w:r>
    </w:p>
    <w:p w14:paraId="13B8B8CB"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In assenza di un trattamento di sostegno vitale in atto, o almeno di un’indicazione medica relativa alla necessità di attivare un simile trattamento, il paziente non si trova ancora nella condizione di poter optare per la propria morte sulla base della legge n. 219 del 2017, rifiutando (rispettivamente) la prosecuzione o la stessa attivazione di un tale trattamento. Pertanto, la sua situazione non è assimilabile a quella di un paziente la cui vita dipenda, ormai, dal trattamento in questione; il che rende costituzionalmente non censurabile, al metro dell’art. 3 Cost., la diversa disciplina prevista per le due ipotesi.</w:t>
      </w:r>
    </w:p>
    <w:p w14:paraId="3095FF2A"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 xml:space="preserve">6.2.– Quanto all’asserita lesione del diritto all’autodeterminazione del paziente fondato sugli artt. 2, 13 e 32, secondo comma, Cost., essa parimenti sussisterebbe – nella prospettazione del giudice a quo – in relazione alla circostanza che la disciplina oggi vigente costringerebbe il </w:t>
      </w:r>
      <w:r w:rsidRPr="00F115CE">
        <w:rPr>
          <w:rFonts w:ascii="Lato" w:eastAsia="Times New Roman" w:hAnsi="Lato" w:cs="Times New Roman"/>
          <w:color w:val="000000"/>
          <w:kern w:val="0"/>
          <w:sz w:val="23"/>
          <w:szCs w:val="23"/>
          <w:lang w:eastAsia="it-IT"/>
          <w14:ligatures w14:val="none"/>
        </w:rPr>
        <w:lastRenderedPageBreak/>
        <w:t>paziente a sottoporsi al trattamento di sostegno vitale al solo scopo di poterlo poi legittimamente rifiutare e accedere, così, al suicidio assistito; ciò che finirebbe per imporre al paziente un’unica modalità di congedarsi dalla vita.</w:t>
      </w:r>
    </w:p>
    <w:p w14:paraId="056AC9AD"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Anche in questo caso, l’argomento è in radice viziato dall’erroneo presupposto di cui si è detto, non essendo affatto necessario – ai fini dell’accesso al suicidio assistito – che il paziente inizi il trattamento di sostegno vitale giudicato necessario dal medico, per poi chiedere di interromperlo.</w:t>
      </w:r>
    </w:p>
    <w:p w14:paraId="6CC79609" w14:textId="77777777" w:rsidR="00F115CE" w:rsidRPr="00F115CE" w:rsidRDefault="00F115CE" w:rsidP="00F115CE">
      <w:pPr>
        <w:shd w:val="clear" w:color="auto" w:fill="FFFFFF"/>
        <w:spacing w:after="150"/>
        <w:ind w:firstLine="300"/>
        <w:jc w:val="both"/>
        <w:rPr>
          <w:rFonts w:ascii="Lato" w:eastAsia="Times New Roman" w:hAnsi="Lato" w:cs="Times New Roman"/>
          <w:color w:val="EE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In assenza di una tale indicazione medica, non possono in questa sede che reiterarsi le considerazioni già svolte dalla </w:t>
      </w:r>
      <w:hyperlink r:id="rId16" w:tgtFrame="_blank" w:history="1">
        <w:r w:rsidRPr="00F115CE">
          <w:rPr>
            <w:rFonts w:ascii="Lato" w:eastAsia="Times New Roman" w:hAnsi="Lato" w:cs="Times New Roman"/>
            <w:color w:val="0E10A1"/>
            <w:kern w:val="0"/>
            <w:sz w:val="23"/>
            <w:szCs w:val="23"/>
            <w:u w:val="single"/>
            <w:shd w:val="clear" w:color="auto" w:fill="FBFB68"/>
            <w:lang w:eastAsia="it-IT"/>
            <w14:ligatures w14:val="none"/>
          </w:rPr>
          <w:t>sentenza n. 135 del 2024</w:t>
        </w:r>
      </w:hyperlink>
      <w:r w:rsidRPr="00F115CE">
        <w:rPr>
          <w:rFonts w:ascii="Lato" w:eastAsia="Times New Roman" w:hAnsi="Lato" w:cs="Times New Roman"/>
          <w:color w:val="000000"/>
          <w:kern w:val="0"/>
          <w:sz w:val="23"/>
          <w:szCs w:val="23"/>
          <w:lang w:eastAsia="it-IT"/>
          <w14:ligatures w14:val="none"/>
        </w:rPr>
        <w:t xml:space="preserve"> (punto 7.2. del Considerato in diritto) in relazione al significativo margine di discrezionalità che questa Corte ha riconosciuto al legislatore nel </w:t>
      </w:r>
      <w:r w:rsidRPr="00F115CE">
        <w:rPr>
          <w:rFonts w:ascii="Lato" w:eastAsia="Times New Roman" w:hAnsi="Lato" w:cs="Times New Roman"/>
          <w:color w:val="EE0000"/>
          <w:kern w:val="0"/>
          <w:sz w:val="23"/>
          <w:szCs w:val="23"/>
          <w:lang w:eastAsia="it-IT"/>
          <w14:ligatures w14:val="none"/>
        </w:rPr>
        <w:t xml:space="preserve">bilanciamento tra il dovere di tutela della vita umana, discendente dall’art. 2 Cost., e il principio dell’«autonomia» del paziente </w:t>
      </w:r>
      <w:r w:rsidRPr="00F115CE">
        <w:rPr>
          <w:rFonts w:ascii="Lato" w:eastAsia="Times New Roman" w:hAnsi="Lato" w:cs="Times New Roman"/>
          <w:color w:val="000000"/>
          <w:kern w:val="0"/>
          <w:sz w:val="23"/>
          <w:szCs w:val="23"/>
          <w:lang w:eastAsia="it-IT"/>
          <w14:ligatures w14:val="none"/>
        </w:rPr>
        <w:t xml:space="preserve">«nelle decisioni che coinvolgono il proprio corpo, e che è a sua volta un aspetto del più generale diritto al libero sviluppo della propria persona». </w:t>
      </w:r>
      <w:r w:rsidRPr="00F115CE">
        <w:rPr>
          <w:rFonts w:ascii="Lato" w:eastAsia="Times New Roman" w:hAnsi="Lato" w:cs="Times New Roman"/>
          <w:color w:val="EE0000"/>
          <w:kern w:val="0"/>
          <w:sz w:val="23"/>
          <w:szCs w:val="23"/>
          <w:lang w:eastAsia="it-IT"/>
          <w14:ligatures w14:val="none"/>
        </w:rPr>
        <w:t>Tale margine di discrezionalità rende costituzionalmente non obbligata la scelta – non preclusa, in ipotesi, al legislatore, laddove appresti le necessarie garanzie contro i rischi di abuso e di abbandono del malato di cui meglio si dirà più innanzi – di consentire l’accesso al suicidio assistito anche a pazienti capaci di assumere decisioni libere e responsabili, affetti da patologie irreversibili che cagionino loro sofferenze intollerabili, ma le cui funzioni vitali non dipendano da trattamenti di sostegno vitale.</w:t>
      </w:r>
    </w:p>
    <w:p w14:paraId="3FD3CD35"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6.3.– Infine, quanto alle censure concernenti la lamentata violazione, per il tramite dell’art. 117, primo comma, Cost., degli artt. 8 e 14 CEDU, esse, per un verso, devono essere dichiarate non fondate nella misura in cui assumono a presupposto l’impossibilità di equiparare l’effettiva sottoposizione a un trattamento medico di sostegno vitale al rifiuto dello stesso, pur in presenza di una valutazione medica relativa alla sua necessità nel caso concreto.</w:t>
      </w:r>
    </w:p>
    <w:p w14:paraId="3B744059"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Per altro verso, nella misura in cui le censure in parola mirino a estendere la non punibilità dell’aiuto al suicidio oltre tale ultima ipotesi, esse devono essere giudicate non fondate sulla base della </w:t>
      </w:r>
      <w:hyperlink r:id="rId17" w:tgtFrame="_blank" w:history="1">
        <w:r w:rsidRPr="00F115CE">
          <w:rPr>
            <w:rFonts w:ascii="Lato" w:eastAsia="Times New Roman" w:hAnsi="Lato" w:cs="Times New Roman"/>
            <w:color w:val="0E10A1"/>
            <w:kern w:val="0"/>
            <w:sz w:val="23"/>
            <w:szCs w:val="23"/>
            <w:u w:val="single"/>
            <w:shd w:val="clear" w:color="auto" w:fill="FBFB68"/>
            <w:lang w:eastAsia="it-IT"/>
            <w14:ligatures w14:val="none"/>
          </w:rPr>
          <w:t xml:space="preserve">sentenza della Corte europea dei diritti dell’uomo, 13 giugno 2024, </w:t>
        </w:r>
        <w:proofErr w:type="spellStart"/>
        <w:r w:rsidRPr="00F115CE">
          <w:rPr>
            <w:rFonts w:ascii="Lato" w:eastAsia="Times New Roman" w:hAnsi="Lato" w:cs="Times New Roman"/>
            <w:color w:val="0E10A1"/>
            <w:kern w:val="0"/>
            <w:sz w:val="23"/>
            <w:szCs w:val="23"/>
            <w:u w:val="single"/>
            <w:shd w:val="clear" w:color="auto" w:fill="FBFB68"/>
            <w:lang w:eastAsia="it-IT"/>
            <w14:ligatures w14:val="none"/>
          </w:rPr>
          <w:t>Dániel</w:t>
        </w:r>
        <w:proofErr w:type="spellEnd"/>
        <w:r w:rsidRPr="00F115CE">
          <w:rPr>
            <w:rFonts w:ascii="Lato" w:eastAsia="Times New Roman" w:hAnsi="Lato" w:cs="Times New Roman"/>
            <w:color w:val="0E10A1"/>
            <w:kern w:val="0"/>
            <w:sz w:val="23"/>
            <w:szCs w:val="23"/>
            <w:u w:val="single"/>
            <w:shd w:val="clear" w:color="auto" w:fill="FBFB68"/>
            <w:lang w:eastAsia="it-IT"/>
            <w14:ligatures w14:val="none"/>
          </w:rPr>
          <w:t xml:space="preserve"> </w:t>
        </w:r>
        <w:proofErr w:type="spellStart"/>
        <w:r w:rsidRPr="00F115CE">
          <w:rPr>
            <w:rFonts w:ascii="Lato" w:eastAsia="Times New Roman" w:hAnsi="Lato" w:cs="Times New Roman"/>
            <w:color w:val="0E10A1"/>
            <w:kern w:val="0"/>
            <w:sz w:val="23"/>
            <w:szCs w:val="23"/>
            <w:u w:val="single"/>
            <w:shd w:val="clear" w:color="auto" w:fill="FBFB68"/>
            <w:lang w:eastAsia="it-IT"/>
            <w14:ligatures w14:val="none"/>
          </w:rPr>
          <w:t>Karsai</w:t>
        </w:r>
        <w:proofErr w:type="spellEnd"/>
        <w:r w:rsidRPr="00F115CE">
          <w:rPr>
            <w:rFonts w:ascii="Lato" w:eastAsia="Times New Roman" w:hAnsi="Lato" w:cs="Times New Roman"/>
            <w:color w:val="0E10A1"/>
            <w:kern w:val="0"/>
            <w:sz w:val="23"/>
            <w:szCs w:val="23"/>
            <w:u w:val="single"/>
            <w:shd w:val="clear" w:color="auto" w:fill="FBFB68"/>
            <w:lang w:eastAsia="it-IT"/>
            <w14:ligatures w14:val="none"/>
          </w:rPr>
          <w:t>, contro Ungheria</w:t>
        </w:r>
      </w:hyperlink>
      <w:r w:rsidRPr="00F115CE">
        <w:rPr>
          <w:rFonts w:ascii="Lato" w:eastAsia="Times New Roman" w:hAnsi="Lato" w:cs="Times New Roman"/>
          <w:color w:val="000000"/>
          <w:kern w:val="0"/>
          <w:sz w:val="23"/>
          <w:szCs w:val="23"/>
          <w:lang w:eastAsia="it-IT"/>
          <w14:ligatures w14:val="none"/>
        </w:rPr>
        <w:t>: pronuncia non esaminata dal rimettente, ma ampiamente ripresa da questa Corte nella </w:t>
      </w:r>
      <w:hyperlink r:id="rId18" w:tgtFrame="_blank" w:history="1">
        <w:r w:rsidRPr="00F115CE">
          <w:rPr>
            <w:rFonts w:ascii="Lato" w:eastAsia="Times New Roman" w:hAnsi="Lato" w:cs="Times New Roman"/>
            <w:color w:val="0E10A1"/>
            <w:kern w:val="0"/>
            <w:sz w:val="23"/>
            <w:szCs w:val="23"/>
            <w:u w:val="single"/>
            <w:shd w:val="clear" w:color="auto" w:fill="FBFB68"/>
            <w:lang w:eastAsia="it-IT"/>
            <w14:ligatures w14:val="none"/>
          </w:rPr>
          <w:t>sentenza n. 135 del 2024</w:t>
        </w:r>
      </w:hyperlink>
      <w:r w:rsidRPr="00F115CE">
        <w:rPr>
          <w:rFonts w:ascii="Lato" w:eastAsia="Times New Roman" w:hAnsi="Lato" w:cs="Times New Roman"/>
          <w:color w:val="000000"/>
          <w:kern w:val="0"/>
          <w:sz w:val="23"/>
          <w:szCs w:val="23"/>
          <w:lang w:eastAsia="it-IT"/>
          <w14:ligatures w14:val="none"/>
        </w:rPr>
        <w:t> (punto 7.4. del Considerato in diritto). In tale pronuncia – da cui questa Corte non ha ritenuto, nella </w:t>
      </w:r>
      <w:hyperlink r:id="rId19" w:tgtFrame="_blank" w:history="1">
        <w:r w:rsidRPr="00F115CE">
          <w:rPr>
            <w:rFonts w:ascii="Lato" w:eastAsia="Times New Roman" w:hAnsi="Lato" w:cs="Times New Roman"/>
            <w:color w:val="0E10A1"/>
            <w:kern w:val="0"/>
            <w:sz w:val="23"/>
            <w:szCs w:val="23"/>
            <w:u w:val="single"/>
            <w:shd w:val="clear" w:color="auto" w:fill="FBFB68"/>
            <w:lang w:eastAsia="it-IT"/>
            <w14:ligatures w14:val="none"/>
          </w:rPr>
          <w:t>sentenza n. 135 del 2024</w:t>
        </w:r>
      </w:hyperlink>
      <w:r w:rsidRPr="00F115CE">
        <w:rPr>
          <w:rFonts w:ascii="Lato" w:eastAsia="Times New Roman" w:hAnsi="Lato" w:cs="Times New Roman"/>
          <w:color w:val="000000"/>
          <w:kern w:val="0"/>
          <w:sz w:val="23"/>
          <w:szCs w:val="23"/>
          <w:lang w:eastAsia="it-IT"/>
          <w14:ligatures w14:val="none"/>
        </w:rPr>
        <w:t>, di discostarsi – la Corte EDU riconosce agli Stati parte un considerevole margine di apprezzamento nel bilanciare il diritto alla vita privata – necessariamente coinvolto dalla decisione su come e quando morire – e le ragioni di tutela della vita umana, anche in ragione della persistente assenza di un consenso in materia tra gli Stati membri del Consiglio d’Europa.</w:t>
      </w:r>
    </w:p>
    <w:p w14:paraId="75D564DB"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«Né, infine», si è parimenti rilevato nella </w:t>
      </w:r>
      <w:hyperlink r:id="rId20" w:tgtFrame="_blank" w:history="1">
        <w:r w:rsidRPr="00F115CE">
          <w:rPr>
            <w:rFonts w:ascii="Lato" w:eastAsia="Times New Roman" w:hAnsi="Lato" w:cs="Times New Roman"/>
            <w:color w:val="0E10A1"/>
            <w:kern w:val="0"/>
            <w:sz w:val="23"/>
            <w:szCs w:val="23"/>
            <w:u w:val="single"/>
            <w:shd w:val="clear" w:color="auto" w:fill="FBFB68"/>
            <w:lang w:eastAsia="it-IT"/>
            <w14:ligatures w14:val="none"/>
          </w:rPr>
          <w:t>sentenza n. 135 del 2024</w:t>
        </w:r>
      </w:hyperlink>
      <w:r w:rsidRPr="00F115CE">
        <w:rPr>
          <w:rFonts w:ascii="Lato" w:eastAsia="Times New Roman" w:hAnsi="Lato" w:cs="Times New Roman"/>
          <w:color w:val="000000"/>
          <w:kern w:val="0"/>
          <w:sz w:val="23"/>
          <w:szCs w:val="23"/>
          <w:lang w:eastAsia="it-IT"/>
          <w14:ligatures w14:val="none"/>
        </w:rPr>
        <w:t>, con considerazioni che qui non possono che reiterarsi, «può essere ravvisato un contrasto con il divieto di discriminazione ai sensi dell’art. 14 CEDU. Per le medesime ragioni già illustrate a proposito della censura formulata in riferimento all’art. 3 Cost. […], non può infatti ritenersi irragionevole la limitazione della liceità dell’aiuto al suicidio ai soli pazienti che abbiano già la possibilità, in forza del diritto costituzionale, di porre fine alla loro esistenza rifiutando i trattamenti di sostegno vitale».</w:t>
      </w:r>
    </w:p>
    <w:p w14:paraId="168B0D30"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6.4.– Da tutto ciò discende la non fondatezza delle questioni prospettate.</w:t>
      </w:r>
    </w:p>
    <w:p w14:paraId="6F85A601"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7.– Appare, peraltro, anche in questa occasione opportuno ribadire il carattere essenziale che rivestono i requisiti e le condizioni procedurali per la non punibilità dell’aiuto al suicidio cui ha fatto riferimento la giurisprudenza di questa Corte. Essi, nella perdurante assenza di una legislazione che disciplini la materia, sono funzionali a creare una "cintura di protezione” per scongiurare il pericolo che coloro che decidono di porre in atto il gesto estremo e irreversibile del suicidio assistito «subiscano interferenze di ogni genere» (</w:t>
      </w:r>
      <w:hyperlink r:id="rId21" w:tgtFrame="_blank" w:history="1">
        <w:r w:rsidRPr="00F115CE">
          <w:rPr>
            <w:rFonts w:ascii="Lato" w:eastAsia="Times New Roman" w:hAnsi="Lato" w:cs="Times New Roman"/>
            <w:color w:val="0E10A1"/>
            <w:kern w:val="0"/>
            <w:sz w:val="23"/>
            <w:szCs w:val="23"/>
            <w:u w:val="single"/>
            <w:shd w:val="clear" w:color="auto" w:fill="FBFB68"/>
            <w:lang w:eastAsia="it-IT"/>
            <w14:ligatures w14:val="none"/>
          </w:rPr>
          <w:t>ordinanza n. 207 del 2018, punto 6 del Considerato in diritto</w:t>
        </w:r>
      </w:hyperlink>
      <w:r w:rsidRPr="00F115CE">
        <w:rPr>
          <w:rFonts w:ascii="Lato" w:eastAsia="Times New Roman" w:hAnsi="Lato" w:cs="Times New Roman"/>
          <w:color w:val="000000"/>
          <w:kern w:val="0"/>
          <w:sz w:val="23"/>
          <w:szCs w:val="23"/>
          <w:lang w:eastAsia="it-IT"/>
          <w14:ligatures w14:val="none"/>
        </w:rPr>
        <w:t>).</w:t>
      </w:r>
    </w:p>
    <w:p w14:paraId="753E5DB6"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lastRenderedPageBreak/>
        <w:t>Anche nel contesto del pluralismo etico che caratterizza una democrazia liberale, solo «una concezione astratta dell’autonomia individuale» (</w:t>
      </w:r>
      <w:hyperlink r:id="rId22" w:tgtFrame="_blank" w:history="1">
        <w:r w:rsidRPr="00F115CE">
          <w:rPr>
            <w:rFonts w:ascii="Lato" w:eastAsia="Times New Roman" w:hAnsi="Lato" w:cs="Times New Roman"/>
            <w:color w:val="0E10A1"/>
            <w:kern w:val="0"/>
            <w:sz w:val="23"/>
            <w:szCs w:val="23"/>
            <w:u w:val="single"/>
            <w:shd w:val="clear" w:color="auto" w:fill="FBFB68"/>
            <w:lang w:eastAsia="it-IT"/>
            <w14:ligatures w14:val="none"/>
          </w:rPr>
          <w:t>ordinanza n. 207 del 2018</w:t>
        </w:r>
      </w:hyperlink>
      <w:r w:rsidRPr="00F115CE">
        <w:rPr>
          <w:rFonts w:ascii="Lato" w:eastAsia="Times New Roman" w:hAnsi="Lato" w:cs="Times New Roman"/>
          <w:color w:val="000000"/>
          <w:kern w:val="0"/>
          <w:sz w:val="23"/>
          <w:szCs w:val="23"/>
          <w:lang w:eastAsia="it-IT"/>
          <w14:ligatures w14:val="none"/>
        </w:rPr>
        <w:t xml:space="preserve">) del soggetto, nel senso etimologico di </w:t>
      </w:r>
      <w:proofErr w:type="spellStart"/>
      <w:r w:rsidRPr="00F115CE">
        <w:rPr>
          <w:rFonts w:ascii="Lato" w:eastAsia="Times New Roman" w:hAnsi="Lato" w:cs="Times New Roman"/>
          <w:color w:val="000000"/>
          <w:kern w:val="0"/>
          <w:sz w:val="23"/>
          <w:szCs w:val="23"/>
          <w:lang w:eastAsia="it-IT"/>
          <w14:ligatures w14:val="none"/>
        </w:rPr>
        <w:t>abs</w:t>
      </w:r>
      <w:proofErr w:type="spellEnd"/>
      <w:r w:rsidRPr="00F115CE">
        <w:rPr>
          <w:rFonts w:ascii="Lato" w:eastAsia="Times New Roman" w:hAnsi="Lato" w:cs="Times New Roman"/>
          <w:color w:val="000000"/>
          <w:kern w:val="0"/>
          <w:sz w:val="23"/>
          <w:szCs w:val="23"/>
          <w:lang w:eastAsia="it-IT"/>
          <w14:ligatures w14:val="none"/>
        </w:rPr>
        <w:t>-tractus (ovvero tratto fuori, in forza di una visione individualistica assoluta, dal contesto sociale), può rivelarsi insensibile a questa preoccupazione: se l’autodeterminazione, infatti, è costretta o comunque condizionata dalle circostanze, allora non è più tale.</w:t>
      </w:r>
    </w:p>
    <w:p w14:paraId="749DF7CA"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È proprio la tutela della libertà di autodeterminazione a giustificarne, innanzitutto affinché sia genuina e responsabile, il bilanciamento con il dovere dello Stato di tutela della vita, la quale «si colloca in posizione apicale nell’ambito dei diritti fondamentali della persona» (sentenze </w:t>
      </w:r>
      <w:hyperlink r:id="rId23" w:tgtFrame="_blank" w:history="1">
        <w:r w:rsidRPr="00F115CE">
          <w:rPr>
            <w:rFonts w:ascii="Lato" w:eastAsia="Times New Roman" w:hAnsi="Lato" w:cs="Times New Roman"/>
            <w:color w:val="0E10A1"/>
            <w:kern w:val="0"/>
            <w:sz w:val="23"/>
            <w:szCs w:val="23"/>
            <w:u w:val="single"/>
            <w:shd w:val="clear" w:color="auto" w:fill="FBFB68"/>
            <w:lang w:eastAsia="it-IT"/>
            <w14:ligatures w14:val="none"/>
          </w:rPr>
          <w:t>n. 135 del 2024, punto 5.1. del Considerato in diritto</w:t>
        </w:r>
      </w:hyperlink>
      <w:r w:rsidRPr="00F115CE">
        <w:rPr>
          <w:rFonts w:ascii="Lato" w:eastAsia="Times New Roman" w:hAnsi="Lato" w:cs="Times New Roman"/>
          <w:color w:val="000000"/>
          <w:kern w:val="0"/>
          <w:sz w:val="23"/>
          <w:szCs w:val="23"/>
          <w:lang w:eastAsia="it-IT"/>
          <w14:ligatures w14:val="none"/>
        </w:rPr>
        <w:t>, e </w:t>
      </w:r>
      <w:hyperlink r:id="rId24" w:tgtFrame="_blank" w:history="1">
        <w:r w:rsidRPr="00F115CE">
          <w:rPr>
            <w:rFonts w:ascii="Lato" w:eastAsia="Times New Roman" w:hAnsi="Lato" w:cs="Times New Roman"/>
            <w:color w:val="0E10A1"/>
            <w:kern w:val="0"/>
            <w:sz w:val="23"/>
            <w:szCs w:val="23"/>
            <w:u w:val="single"/>
            <w:shd w:val="clear" w:color="auto" w:fill="FBFB68"/>
            <w:lang w:eastAsia="it-IT"/>
            <w14:ligatures w14:val="none"/>
          </w:rPr>
          <w:t>n. 50 del 2022, punto 5.2. del Considerato in diritto</w:t>
        </w:r>
      </w:hyperlink>
      <w:r w:rsidRPr="00F115CE">
        <w:rPr>
          <w:rFonts w:ascii="Lato" w:eastAsia="Times New Roman" w:hAnsi="Lato" w:cs="Times New Roman"/>
          <w:color w:val="000000"/>
          <w:kern w:val="0"/>
          <w:sz w:val="23"/>
          <w:szCs w:val="23"/>
          <w:lang w:eastAsia="it-IT"/>
          <w14:ligatures w14:val="none"/>
        </w:rPr>
        <w:t>, la quale precisa, poi, al punto 5.3.: «[q]</w:t>
      </w:r>
      <w:proofErr w:type="spellStart"/>
      <w:r w:rsidRPr="00F115CE">
        <w:rPr>
          <w:rFonts w:ascii="Lato" w:eastAsia="Times New Roman" w:hAnsi="Lato" w:cs="Times New Roman"/>
          <w:color w:val="000000"/>
          <w:kern w:val="0"/>
          <w:sz w:val="23"/>
          <w:szCs w:val="23"/>
          <w:lang w:eastAsia="it-IT"/>
          <w14:ligatures w14:val="none"/>
        </w:rPr>
        <w:t>uando</w:t>
      </w:r>
      <w:proofErr w:type="spellEnd"/>
      <w:r w:rsidRPr="00F115CE">
        <w:rPr>
          <w:rFonts w:ascii="Lato" w:eastAsia="Times New Roman" w:hAnsi="Lato" w:cs="Times New Roman"/>
          <w:color w:val="000000"/>
          <w:kern w:val="0"/>
          <w:sz w:val="23"/>
          <w:szCs w:val="23"/>
          <w:lang w:eastAsia="it-IT"/>
          <w14:ligatures w14:val="none"/>
        </w:rPr>
        <w:t xml:space="preserve"> viene in rilievo il bene della vita umana, dunque, la libertà di autodeterminazione non può mai prevalere incondizionatamente sulle ragioni di tutela del medesimo bene, risultando, al contrario, sempre costituzionalmente necessario un bilanciamento che assicuri una sua tutela minima»).</w:t>
      </w:r>
    </w:p>
    <w:p w14:paraId="6B37F724"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 xml:space="preserve">Si tratta dunque di una prospettiva radicalmente diversa da quella che animava la ratio originaria della punizione dell’aiuto al suicidio prevista dall’art. 580 cod. </w:t>
      </w:r>
      <w:proofErr w:type="spellStart"/>
      <w:r w:rsidRPr="00F115CE">
        <w:rPr>
          <w:rFonts w:ascii="Lato" w:eastAsia="Times New Roman" w:hAnsi="Lato" w:cs="Times New Roman"/>
          <w:color w:val="000000"/>
          <w:kern w:val="0"/>
          <w:sz w:val="23"/>
          <w:szCs w:val="23"/>
          <w:lang w:eastAsia="it-IT"/>
          <w14:ligatures w14:val="none"/>
        </w:rPr>
        <w:t>pen</w:t>
      </w:r>
      <w:proofErr w:type="spellEnd"/>
      <w:r w:rsidRPr="00F115CE">
        <w:rPr>
          <w:rFonts w:ascii="Lato" w:eastAsia="Times New Roman" w:hAnsi="Lato" w:cs="Times New Roman"/>
          <w:color w:val="000000"/>
          <w:kern w:val="0"/>
          <w:sz w:val="23"/>
          <w:szCs w:val="23"/>
          <w:lang w:eastAsia="it-IT"/>
          <w14:ligatures w14:val="none"/>
        </w:rPr>
        <w:t>., rivolta a «tutelare la vita umana intesa come bene indisponibile, anche in funzione dell’interesse che la collettività riponeva nella conservazione della vita dei propri cittadini» (</w:t>
      </w:r>
      <w:hyperlink r:id="rId25" w:tgtFrame="_blank" w:history="1">
        <w:r w:rsidRPr="00F115CE">
          <w:rPr>
            <w:rFonts w:ascii="Lato" w:eastAsia="Times New Roman" w:hAnsi="Lato" w:cs="Times New Roman"/>
            <w:color w:val="0E10A1"/>
            <w:kern w:val="0"/>
            <w:sz w:val="23"/>
            <w:szCs w:val="23"/>
            <w:u w:val="single"/>
            <w:shd w:val="clear" w:color="auto" w:fill="FBFB68"/>
            <w:lang w:eastAsia="it-IT"/>
            <w14:ligatures w14:val="none"/>
          </w:rPr>
          <w:t>ordinanza n. 207 del 2018, punto 6 del Considerato in diritto</w:t>
        </w:r>
      </w:hyperlink>
      <w:r w:rsidRPr="00F115CE">
        <w:rPr>
          <w:rFonts w:ascii="Lato" w:eastAsia="Times New Roman" w:hAnsi="Lato" w:cs="Times New Roman"/>
          <w:color w:val="000000"/>
          <w:kern w:val="0"/>
          <w:sz w:val="23"/>
          <w:szCs w:val="23"/>
          <w:lang w:eastAsia="it-IT"/>
          <w14:ligatures w14:val="none"/>
        </w:rPr>
        <w:t>).</w:t>
      </w:r>
    </w:p>
    <w:p w14:paraId="5D111C88"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 xml:space="preserve">Dal principio personalista di cui all’art. 2 Cost. non si ricava quindi il dovere di vivere cui si rifaceva l’originaria ratio dell’art. 580 cod. </w:t>
      </w:r>
      <w:proofErr w:type="spellStart"/>
      <w:r w:rsidRPr="00F115CE">
        <w:rPr>
          <w:rFonts w:ascii="Lato" w:eastAsia="Times New Roman" w:hAnsi="Lato" w:cs="Times New Roman"/>
          <w:color w:val="000000"/>
          <w:kern w:val="0"/>
          <w:sz w:val="23"/>
          <w:szCs w:val="23"/>
          <w:lang w:eastAsia="it-IT"/>
          <w14:ligatures w14:val="none"/>
        </w:rPr>
        <w:t>pen</w:t>
      </w:r>
      <w:proofErr w:type="spellEnd"/>
      <w:r w:rsidRPr="00F115CE">
        <w:rPr>
          <w:rFonts w:ascii="Lato" w:eastAsia="Times New Roman" w:hAnsi="Lato" w:cs="Times New Roman"/>
          <w:color w:val="000000"/>
          <w:kern w:val="0"/>
          <w:sz w:val="23"/>
          <w:szCs w:val="23"/>
          <w:lang w:eastAsia="it-IT"/>
          <w14:ligatures w14:val="none"/>
        </w:rPr>
        <w:t>., bensì, rovesciando la prospettiva, il preciso «dovere dello Stato di tutelare la vita di ogni individuo» (</w:t>
      </w:r>
      <w:hyperlink r:id="rId26" w:tgtFrame="_blank" w:history="1">
        <w:r w:rsidRPr="00F115CE">
          <w:rPr>
            <w:rFonts w:ascii="Lato" w:eastAsia="Times New Roman" w:hAnsi="Lato" w:cs="Times New Roman"/>
            <w:color w:val="0E10A1"/>
            <w:kern w:val="0"/>
            <w:sz w:val="23"/>
            <w:szCs w:val="23"/>
            <w:u w:val="single"/>
            <w:shd w:val="clear" w:color="auto" w:fill="FBFB68"/>
            <w:lang w:eastAsia="it-IT"/>
            <w14:ligatures w14:val="none"/>
          </w:rPr>
          <w:t>ordinanza n. 207 del 2018, punto 5 del Considerato in diritt</w:t>
        </w:r>
      </w:hyperlink>
      <w:r w:rsidRPr="00F115CE">
        <w:rPr>
          <w:rFonts w:ascii="Lato" w:eastAsia="Times New Roman" w:hAnsi="Lato" w:cs="Times New Roman"/>
          <w:color w:val="000000"/>
          <w:kern w:val="0"/>
          <w:sz w:val="23"/>
          <w:szCs w:val="23"/>
          <w:lang w:eastAsia="it-IT"/>
          <w14:ligatures w14:val="none"/>
        </w:rPr>
        <w:t>o).</w:t>
      </w:r>
    </w:p>
    <w:p w14:paraId="7480825E"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In definitiva, se l’autodeterminazione della persona «evoca l’idea secondo cui ciascun individuo debba poter compiere da sé le scelte fondamentali che concernono la propria esistenza, incluse quelle che concernono la propria morte», tale nozione deve essere sottoposta «a un bilanciamento a fronte del contrapposto dovere di tutela della vita umana; bilanciamento nell’operare il quale il legislatore deve poter disporre, ad avviso di questa Corte, di un significativo margine di apprezzamento» (</w:t>
      </w:r>
      <w:hyperlink r:id="rId27" w:tgtFrame="_blank" w:history="1">
        <w:r w:rsidRPr="00F115CE">
          <w:rPr>
            <w:rFonts w:ascii="Lato" w:eastAsia="Times New Roman" w:hAnsi="Lato" w:cs="Times New Roman"/>
            <w:color w:val="0E10A1"/>
            <w:kern w:val="0"/>
            <w:sz w:val="23"/>
            <w:szCs w:val="23"/>
            <w:u w:val="single"/>
            <w:shd w:val="clear" w:color="auto" w:fill="FBFB68"/>
            <w:lang w:eastAsia="it-IT"/>
            <w14:ligatures w14:val="none"/>
          </w:rPr>
          <w:t>sentenza n. 135 del 2024, punto 7.3. del Considerato in diritto</w:t>
        </w:r>
      </w:hyperlink>
      <w:r w:rsidRPr="00F115CE">
        <w:rPr>
          <w:rFonts w:ascii="Lato" w:eastAsia="Times New Roman" w:hAnsi="Lato" w:cs="Times New Roman"/>
          <w:color w:val="000000"/>
          <w:kern w:val="0"/>
          <w:sz w:val="23"/>
          <w:szCs w:val="23"/>
          <w:lang w:eastAsia="it-IT"/>
          <w14:ligatures w14:val="none"/>
        </w:rPr>
        <w:t>).</w:t>
      </w:r>
    </w:p>
    <w:p w14:paraId="01163EBF"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Del resto, l’affermazione del dovere dello Stato di tutelare la vita umana è stata alla base anche della recente decisione di inammissibilità di un referendum abrogativo che mirava a rendere lecito l’omicidio del consenziente (</w:t>
      </w:r>
      <w:hyperlink r:id="rId28" w:tgtFrame="_blank" w:history="1">
        <w:r w:rsidRPr="00F115CE">
          <w:rPr>
            <w:rFonts w:ascii="Lato" w:eastAsia="Times New Roman" w:hAnsi="Lato" w:cs="Times New Roman"/>
            <w:color w:val="0E10A1"/>
            <w:kern w:val="0"/>
            <w:sz w:val="23"/>
            <w:szCs w:val="23"/>
            <w:u w:val="single"/>
            <w:shd w:val="clear" w:color="auto" w:fill="FBFB68"/>
            <w:lang w:eastAsia="it-IT"/>
            <w14:ligatures w14:val="none"/>
          </w:rPr>
          <w:t>sentenza n. 50 del 2022</w:t>
        </w:r>
      </w:hyperlink>
      <w:r w:rsidRPr="00F115CE">
        <w:rPr>
          <w:rFonts w:ascii="Lato" w:eastAsia="Times New Roman" w:hAnsi="Lato" w:cs="Times New Roman"/>
          <w:color w:val="000000"/>
          <w:kern w:val="0"/>
          <w:sz w:val="23"/>
          <w:szCs w:val="23"/>
          <w:lang w:eastAsia="it-IT"/>
          <w14:ligatures w14:val="none"/>
        </w:rPr>
        <w:t>), «il cui esito positivo sarebbe stato quello di lasciare la vita umana in una situazione di insufficiente protezione, in contrasto con gli obblighi costituzionali e convenzionali menzionati» (</w:t>
      </w:r>
      <w:hyperlink r:id="rId29" w:tgtFrame="_blank" w:history="1">
        <w:r w:rsidRPr="00F115CE">
          <w:rPr>
            <w:rFonts w:ascii="Lato" w:eastAsia="Times New Roman" w:hAnsi="Lato" w:cs="Times New Roman"/>
            <w:color w:val="0E10A1"/>
            <w:kern w:val="0"/>
            <w:sz w:val="23"/>
            <w:szCs w:val="23"/>
            <w:u w:val="single"/>
            <w:shd w:val="clear" w:color="auto" w:fill="FBFB68"/>
            <w:lang w:eastAsia="it-IT"/>
            <w14:ligatures w14:val="none"/>
          </w:rPr>
          <w:t>sentenza n. 135 del 2024, punto 5.1. del Considerato in diritto</w:t>
        </w:r>
      </w:hyperlink>
      <w:r w:rsidRPr="00F115CE">
        <w:rPr>
          <w:rFonts w:ascii="Lato" w:eastAsia="Times New Roman" w:hAnsi="Lato" w:cs="Times New Roman"/>
          <w:color w:val="000000"/>
          <w:kern w:val="0"/>
          <w:sz w:val="23"/>
          <w:szCs w:val="23"/>
          <w:lang w:eastAsia="it-IT"/>
          <w14:ligatures w14:val="none"/>
        </w:rPr>
        <w:t>).</w:t>
      </w:r>
    </w:p>
    <w:p w14:paraId="4D71DCC2"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È proprio in tale prospettiva che la giurisprudenza di questa Corte ha sviluppato, su un duplice livello, le condizioni per accedere al suicidio assistito, dato che se questo, per un verso, «amplia gli spazi riconosciuti all’autonomia della persona nel decidere liberamente sul proprio destino», «crea – al tempo stesso – rischi che l’ordinamento ha il dovere di evitare, in adempimento del dovere di tutela della vita umana che, esso pure, discende dall’art. 2 Cost.» (</w:t>
      </w:r>
      <w:hyperlink r:id="rId30" w:tgtFrame="_blank" w:history="1">
        <w:r w:rsidRPr="00F115CE">
          <w:rPr>
            <w:rFonts w:ascii="Lato" w:eastAsia="Times New Roman" w:hAnsi="Lato" w:cs="Times New Roman"/>
            <w:color w:val="0E10A1"/>
            <w:kern w:val="0"/>
            <w:sz w:val="23"/>
            <w:szCs w:val="23"/>
            <w:u w:val="single"/>
            <w:shd w:val="clear" w:color="auto" w:fill="FBFB68"/>
            <w:lang w:eastAsia="it-IT"/>
            <w14:ligatures w14:val="none"/>
          </w:rPr>
          <w:t>sentenza n. 135 del 2024, punto 7.2. del Considerato in diritto</w:t>
        </w:r>
      </w:hyperlink>
      <w:r w:rsidRPr="00F115CE">
        <w:rPr>
          <w:rFonts w:ascii="Lato" w:eastAsia="Times New Roman" w:hAnsi="Lato" w:cs="Times New Roman"/>
          <w:color w:val="000000"/>
          <w:kern w:val="0"/>
          <w:sz w:val="23"/>
          <w:szCs w:val="23"/>
          <w:lang w:eastAsia="it-IT"/>
          <w14:ligatures w14:val="none"/>
        </w:rPr>
        <w:t>).</w:t>
      </w:r>
    </w:p>
    <w:p w14:paraId="242EE13C"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7.1.– Il primo livello attiene alla necessità di prevenire il pericolo di abusi a danno delle persone deboli e vulnerabili, perché in situazioni di fragilità e sofferenza la scelta di porre fine alla propria vita potrebbe essere indotta o sollecitata da terze persone, per le ragioni più diverse.</w:t>
      </w:r>
    </w:p>
    <w:p w14:paraId="3583892C"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 xml:space="preserve">Bisogna considerare, infatti, la situazione delle persone malate, depresse, psicologicamente fragili, ovvero anziane e in solitudine, le quali potrebbero essere facilmente indotte a congedarsi prematuramente dalla vita qualora l’ordinamento consentisse a chiunque di cooperare, magari </w:t>
      </w:r>
      <w:r w:rsidRPr="00F115CE">
        <w:rPr>
          <w:rFonts w:ascii="Lato" w:eastAsia="Times New Roman" w:hAnsi="Lato" w:cs="Times New Roman"/>
          <w:color w:val="000000"/>
          <w:kern w:val="0"/>
          <w:sz w:val="23"/>
          <w:szCs w:val="23"/>
          <w:lang w:eastAsia="it-IT"/>
          <w14:ligatures w14:val="none"/>
        </w:rPr>
        <w:lastRenderedPageBreak/>
        <w:t>per ragioni di personale tornaconto, all’esecuzione di una loro scelta suicidaria (</w:t>
      </w:r>
      <w:hyperlink r:id="rId31" w:tgtFrame="_blank" w:history="1">
        <w:r w:rsidRPr="00F115CE">
          <w:rPr>
            <w:rFonts w:ascii="Lato" w:eastAsia="Times New Roman" w:hAnsi="Lato" w:cs="Times New Roman"/>
            <w:color w:val="0E10A1"/>
            <w:kern w:val="0"/>
            <w:sz w:val="23"/>
            <w:szCs w:val="23"/>
            <w:u w:val="single"/>
            <w:shd w:val="clear" w:color="auto" w:fill="FBFB68"/>
            <w:lang w:eastAsia="it-IT"/>
            <w14:ligatures w14:val="none"/>
          </w:rPr>
          <w:t>ordinanza n. 207 del 2018, punto 6 del Considerato in diritt</w:t>
        </w:r>
      </w:hyperlink>
      <w:r w:rsidRPr="00F115CE">
        <w:rPr>
          <w:rFonts w:ascii="Lato" w:eastAsia="Times New Roman" w:hAnsi="Lato" w:cs="Times New Roman"/>
          <w:color w:val="000000"/>
          <w:kern w:val="0"/>
          <w:sz w:val="23"/>
          <w:szCs w:val="23"/>
          <w:lang w:eastAsia="it-IT"/>
          <w14:ligatures w14:val="none"/>
        </w:rPr>
        <w:t>o).</w:t>
      </w:r>
    </w:p>
    <w:p w14:paraId="123236AD"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Non marginale è poi il rischio che la richiesta di accesso al suicidio assistito costituisca una scelta non sufficientemente meditata, come ha recentemente rilevato la Corte EDU (</w:t>
      </w:r>
      <w:hyperlink r:id="rId32" w:tgtFrame="_blank" w:history="1">
        <w:r w:rsidRPr="00F115CE">
          <w:rPr>
            <w:rFonts w:ascii="Lato" w:eastAsia="Times New Roman" w:hAnsi="Lato" w:cs="Times New Roman"/>
            <w:color w:val="0E10A1"/>
            <w:kern w:val="0"/>
            <w:sz w:val="23"/>
            <w:szCs w:val="23"/>
            <w:u w:val="single"/>
            <w:shd w:val="clear" w:color="auto" w:fill="FBFB68"/>
            <w:lang w:eastAsia="it-IT"/>
            <w14:ligatures w14:val="none"/>
          </w:rPr>
          <w:t xml:space="preserve">sentenza </w:t>
        </w:r>
        <w:proofErr w:type="spellStart"/>
        <w:r w:rsidRPr="00F115CE">
          <w:rPr>
            <w:rFonts w:ascii="Lato" w:eastAsia="Times New Roman" w:hAnsi="Lato" w:cs="Times New Roman"/>
            <w:color w:val="0E10A1"/>
            <w:kern w:val="0"/>
            <w:sz w:val="23"/>
            <w:szCs w:val="23"/>
            <w:u w:val="single"/>
            <w:shd w:val="clear" w:color="auto" w:fill="FBFB68"/>
            <w:lang w:eastAsia="it-IT"/>
            <w14:ligatures w14:val="none"/>
          </w:rPr>
          <w:t>Karsai</w:t>
        </w:r>
        <w:proofErr w:type="spellEnd"/>
      </w:hyperlink>
      <w:r w:rsidRPr="00F115CE">
        <w:rPr>
          <w:rFonts w:ascii="Lato" w:eastAsia="Times New Roman" w:hAnsi="Lato" w:cs="Times New Roman"/>
          <w:color w:val="000000"/>
          <w:kern w:val="0"/>
          <w:sz w:val="23"/>
          <w:szCs w:val="23"/>
          <w:lang w:eastAsia="it-IT"/>
          <w14:ligatures w14:val="none"/>
        </w:rPr>
        <w:t>, paragrafo 151), sottolineando altresì come l’accertamento della genuinità della richiesta del paziente divenga particolarmente difficoltoso in determinate situazioni cliniche, come nelle patologie neurodegenerative.</w:t>
      </w:r>
    </w:p>
    <w:p w14:paraId="2B684E96"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Sono quindi le esigenze di tutela delle persone deboli e vulnerabili che danno rilievo alle precise condizioni procedurali costantemente ribadite da questa Corte (sentenze </w:t>
      </w:r>
      <w:hyperlink r:id="rId33" w:tgtFrame="_blank" w:history="1">
        <w:r w:rsidRPr="00F115CE">
          <w:rPr>
            <w:rFonts w:ascii="Lato" w:eastAsia="Times New Roman" w:hAnsi="Lato" w:cs="Times New Roman"/>
            <w:color w:val="0E10A1"/>
            <w:kern w:val="0"/>
            <w:sz w:val="23"/>
            <w:szCs w:val="23"/>
            <w:u w:val="single"/>
            <w:shd w:val="clear" w:color="auto" w:fill="FBFB68"/>
            <w:lang w:eastAsia="it-IT"/>
            <w14:ligatures w14:val="none"/>
          </w:rPr>
          <w:t>n. 135 del 2024</w:t>
        </w:r>
      </w:hyperlink>
      <w:r w:rsidRPr="00F115CE">
        <w:rPr>
          <w:rFonts w:ascii="Lato" w:eastAsia="Times New Roman" w:hAnsi="Lato" w:cs="Times New Roman"/>
          <w:color w:val="000000"/>
          <w:kern w:val="0"/>
          <w:sz w:val="23"/>
          <w:szCs w:val="23"/>
          <w:lang w:eastAsia="it-IT"/>
          <w14:ligatures w14:val="none"/>
        </w:rPr>
        <w:t> e </w:t>
      </w:r>
      <w:hyperlink r:id="rId34" w:tgtFrame="_blank" w:history="1">
        <w:r w:rsidRPr="00F115CE">
          <w:rPr>
            <w:rFonts w:ascii="Lato" w:eastAsia="Times New Roman" w:hAnsi="Lato" w:cs="Times New Roman"/>
            <w:color w:val="0E10A1"/>
            <w:kern w:val="0"/>
            <w:sz w:val="23"/>
            <w:szCs w:val="23"/>
            <w:u w:val="single"/>
            <w:shd w:val="clear" w:color="auto" w:fill="FBFB68"/>
            <w:lang w:eastAsia="it-IT"/>
            <w14:ligatures w14:val="none"/>
          </w:rPr>
          <w:t>n. 242 del 2019</w:t>
        </w:r>
      </w:hyperlink>
      <w:r w:rsidRPr="00F115CE">
        <w:rPr>
          <w:rFonts w:ascii="Lato" w:eastAsia="Times New Roman" w:hAnsi="Lato" w:cs="Times New Roman"/>
          <w:color w:val="000000"/>
          <w:kern w:val="0"/>
          <w:sz w:val="23"/>
          <w:szCs w:val="23"/>
          <w:lang w:eastAsia="it-IT"/>
          <w14:ligatures w14:val="none"/>
        </w:rPr>
        <w:t>, </w:t>
      </w:r>
      <w:hyperlink r:id="rId35" w:tgtFrame="_blank" w:history="1">
        <w:r w:rsidRPr="00F115CE">
          <w:rPr>
            <w:rFonts w:ascii="Lato" w:eastAsia="Times New Roman" w:hAnsi="Lato" w:cs="Times New Roman"/>
            <w:color w:val="0E10A1"/>
            <w:kern w:val="0"/>
            <w:sz w:val="23"/>
            <w:szCs w:val="23"/>
            <w:u w:val="single"/>
            <w:shd w:val="clear" w:color="auto" w:fill="FBFB68"/>
            <w:lang w:eastAsia="it-IT"/>
            <w14:ligatures w14:val="none"/>
          </w:rPr>
          <w:t>ordinanza n. 207 del 2018</w:t>
        </w:r>
      </w:hyperlink>
      <w:r w:rsidRPr="00F115CE">
        <w:rPr>
          <w:rFonts w:ascii="Lato" w:eastAsia="Times New Roman" w:hAnsi="Lato" w:cs="Times New Roman"/>
          <w:color w:val="000000"/>
          <w:kern w:val="0"/>
          <w:sz w:val="23"/>
          <w:szCs w:val="23"/>
          <w:lang w:eastAsia="it-IT"/>
          <w14:ligatures w14:val="none"/>
        </w:rPr>
        <w:t>).</w:t>
      </w:r>
    </w:p>
    <w:p w14:paraId="5B9B8BC2"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La «procedura medicalizzata», di cui all’art. 1 della legge n. 219 del 2017, è infatti funzionale a garantire che l’accesso al suicidio assistito avvenga nell’ambito di una seria assistenza medica; in sua assenza la patologia non può essere inquadrata in modo adeguato e la prospettiva della morte come unica via di uscita potrebbe essere frutto di un irrimediabile abbaglio.</w:t>
      </w:r>
    </w:p>
    <w:p w14:paraId="794D8550"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 xml:space="preserve">In questo contesto assume grande importanza la concreta messa a disposizione di un percorso di cure palliative, che configura «un </w:t>
      </w:r>
      <w:proofErr w:type="spellStart"/>
      <w:r w:rsidRPr="00F115CE">
        <w:rPr>
          <w:rFonts w:ascii="Lato" w:eastAsia="Times New Roman" w:hAnsi="Lato" w:cs="Times New Roman"/>
          <w:color w:val="000000"/>
          <w:kern w:val="0"/>
          <w:sz w:val="23"/>
          <w:szCs w:val="23"/>
          <w:lang w:eastAsia="it-IT"/>
          <w14:ligatures w14:val="none"/>
        </w:rPr>
        <w:t>pre</w:t>
      </w:r>
      <w:proofErr w:type="spellEnd"/>
      <w:r w:rsidRPr="00F115CE">
        <w:rPr>
          <w:rFonts w:ascii="Lato" w:eastAsia="Times New Roman" w:hAnsi="Lato" w:cs="Times New Roman"/>
          <w:color w:val="000000"/>
          <w:kern w:val="0"/>
          <w:sz w:val="23"/>
          <w:szCs w:val="23"/>
          <w:lang w:eastAsia="it-IT"/>
          <w14:ligatures w14:val="none"/>
        </w:rPr>
        <w:t>-requisito della scelta, in seguito, di qualsiasi percorso alternativo da parte del paziente» (</w:t>
      </w:r>
      <w:hyperlink r:id="rId36" w:tgtFrame="_blank" w:history="1">
        <w:r w:rsidRPr="00F115CE">
          <w:rPr>
            <w:rFonts w:ascii="Lato" w:eastAsia="Times New Roman" w:hAnsi="Lato" w:cs="Times New Roman"/>
            <w:color w:val="0E10A1"/>
            <w:kern w:val="0"/>
            <w:sz w:val="23"/>
            <w:szCs w:val="23"/>
            <w:u w:val="single"/>
            <w:shd w:val="clear" w:color="auto" w:fill="FBFB68"/>
            <w:lang w:eastAsia="it-IT"/>
            <w14:ligatures w14:val="none"/>
          </w:rPr>
          <w:t>sentenza n. 242 del 2019</w:t>
        </w:r>
      </w:hyperlink>
      <w:r w:rsidRPr="00F115CE">
        <w:rPr>
          <w:rFonts w:ascii="Lato" w:eastAsia="Times New Roman" w:hAnsi="Lato" w:cs="Times New Roman"/>
          <w:color w:val="000000"/>
          <w:kern w:val="0"/>
          <w:sz w:val="23"/>
          <w:szCs w:val="23"/>
          <w:lang w:eastAsia="it-IT"/>
          <w14:ligatures w14:val="none"/>
        </w:rPr>
        <w:t> e </w:t>
      </w:r>
      <w:hyperlink r:id="rId37" w:tgtFrame="_blank" w:history="1">
        <w:r w:rsidRPr="00F115CE">
          <w:rPr>
            <w:rFonts w:ascii="Lato" w:eastAsia="Times New Roman" w:hAnsi="Lato" w:cs="Times New Roman"/>
            <w:color w:val="0E10A1"/>
            <w:kern w:val="0"/>
            <w:sz w:val="23"/>
            <w:szCs w:val="23"/>
            <w:u w:val="single"/>
            <w:shd w:val="clear" w:color="auto" w:fill="FBFB68"/>
            <w:lang w:eastAsia="it-IT"/>
            <w14:ligatures w14:val="none"/>
          </w:rPr>
          <w:t>ordinanza n. 207 del 2018</w:t>
        </w:r>
      </w:hyperlink>
      <w:r w:rsidRPr="00F115CE">
        <w:rPr>
          <w:rFonts w:ascii="Lato" w:eastAsia="Times New Roman" w:hAnsi="Lato" w:cs="Times New Roman"/>
          <w:color w:val="000000"/>
          <w:kern w:val="0"/>
          <w:sz w:val="23"/>
          <w:szCs w:val="23"/>
          <w:lang w:eastAsia="it-IT"/>
          <w14:ligatures w14:val="none"/>
        </w:rPr>
        <w:t>).</w:t>
      </w:r>
    </w:p>
    <w:p w14:paraId="2E004739"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Infatti, il contatto con sanitari e con una struttura effettivamente in grado di assicurare la tempestiva attivazione di terapie palliative può garantire il diritto dei pazienti a ricevere informazioni complete sul loro percorso di cura e permettere a ogni persona l’opportunità di confrontarsi con la malattia e con l’ultimo tratto del cammino di vita in maniera dignitosa e libera da sofferenze, anche nella prospettiva di prevenire e ridurre in misura molto rilevante la domanda di suicidio assistito.</w:t>
      </w:r>
    </w:p>
    <w:p w14:paraId="5BB9249B"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L’altra condizione è quella del necessario coinvolgimento del Servizio sanitario nazionale, a garanzia di un disinteressato accertamento della sussistenza dei requisiti di liceità dell’accesso alla procedura di suicidio assistito.</w:t>
      </w:r>
    </w:p>
    <w:p w14:paraId="68BE3269"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Infine, in attesa di un organico intervento del legislatore – che ben potrebbe individuare strutture più calibrate, dal punto di vista delle competenze di etica clinica –, un’ulteriore condizione è quella del necessario parere del comitato etico territorialmente competente, funzionale anche alla specifica esigenza di ottenere un parere terzo in relazione alla domanda di accesso al suicidio assistito.</w:t>
      </w:r>
    </w:p>
    <w:p w14:paraId="63A0D9C2"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7.2.– Il secondo livello è quello di contrastare derive sociali o culturali che inducano le persone malate a scelte suicide, quando invece ben potrebbero trovare ragioni per continuare a vivere, ove fossero adeguatamente sostenute dalle rispettive reti familiari e sociali, oltre che dalle istituzioni pubbliche nel loro complesso.</w:t>
      </w:r>
    </w:p>
    <w:p w14:paraId="2CCECBBB"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 xml:space="preserve">I rischi in questione, infatti, «non riguardano solo la possibilità che vengano compiute condotte apertamente abusive da parte di terzi a danno della singola persona che compia la scelta di porre termine alla propria esistenza, ma riguardano anche – come si è osservato (Corte suprema del Regno Unito, </w:t>
      </w:r>
      <w:proofErr w:type="spellStart"/>
      <w:r w:rsidRPr="00F115CE">
        <w:rPr>
          <w:rFonts w:ascii="Lato" w:eastAsia="Times New Roman" w:hAnsi="Lato" w:cs="Times New Roman"/>
          <w:color w:val="000000"/>
          <w:kern w:val="0"/>
          <w:sz w:val="23"/>
          <w:szCs w:val="23"/>
          <w:lang w:eastAsia="it-IT"/>
          <w14:ligatures w14:val="none"/>
        </w:rPr>
        <w:t>Nicklinson</w:t>
      </w:r>
      <w:proofErr w:type="spellEnd"/>
      <w:r w:rsidRPr="00F115CE">
        <w:rPr>
          <w:rFonts w:ascii="Lato" w:eastAsia="Times New Roman" w:hAnsi="Lato" w:cs="Times New Roman"/>
          <w:color w:val="000000"/>
          <w:kern w:val="0"/>
          <w:sz w:val="23"/>
          <w:szCs w:val="23"/>
          <w:lang w:eastAsia="it-IT"/>
          <w14:ligatures w14:val="none"/>
        </w:rPr>
        <w:t xml:space="preserve"> e altri, paragrafo 228) – la possibilità che, in presenza di una legislazione permissiva non accompagnata dalle necessarie garanzie sostanziali e procedimentali, si crei una "pressione sociale indiretta” su altre persone malate o semplicemente anziane e sole, le quali potrebbero convincersi di essere divenute ormai un peso per i propri familiari e per l’intera società, e di decidere così di farsi anzitempo da parte» (</w:t>
      </w:r>
      <w:hyperlink r:id="rId38" w:tgtFrame="_blank" w:history="1">
        <w:r w:rsidRPr="00F115CE">
          <w:rPr>
            <w:rFonts w:ascii="Lato" w:eastAsia="Times New Roman" w:hAnsi="Lato" w:cs="Times New Roman"/>
            <w:color w:val="0E10A1"/>
            <w:kern w:val="0"/>
            <w:sz w:val="23"/>
            <w:szCs w:val="23"/>
            <w:u w:val="single"/>
            <w:shd w:val="clear" w:color="auto" w:fill="FBFB68"/>
            <w:lang w:eastAsia="it-IT"/>
            <w14:ligatures w14:val="none"/>
          </w:rPr>
          <w:t>sentenza n. 135 del 2024, punto 7.2. del Considerato in diritt</w:t>
        </w:r>
      </w:hyperlink>
      <w:r w:rsidRPr="00F115CE">
        <w:rPr>
          <w:rFonts w:ascii="Lato" w:eastAsia="Times New Roman" w:hAnsi="Lato" w:cs="Times New Roman"/>
          <w:color w:val="000000"/>
          <w:kern w:val="0"/>
          <w:sz w:val="23"/>
          <w:szCs w:val="23"/>
          <w:lang w:eastAsia="it-IT"/>
          <w14:ligatures w14:val="none"/>
        </w:rPr>
        <w:t>o).</w:t>
      </w:r>
    </w:p>
    <w:p w14:paraId="146AA020"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 xml:space="preserve">In un contesto storico caratterizzato da tensioni sull’allocazione delle risorse pubbliche, il cosiddetto "diritto di morire” rivendicato in alcune circostanze potrebbe essere paradossalmente </w:t>
      </w:r>
      <w:r w:rsidRPr="00F115CE">
        <w:rPr>
          <w:rFonts w:ascii="Lato" w:eastAsia="Times New Roman" w:hAnsi="Lato" w:cs="Times New Roman"/>
          <w:color w:val="000000"/>
          <w:kern w:val="0"/>
          <w:sz w:val="23"/>
          <w:szCs w:val="23"/>
          <w:lang w:eastAsia="it-IT"/>
          <w14:ligatures w14:val="none"/>
        </w:rPr>
        <w:lastRenderedPageBreak/>
        <w:t>percepito dal malato come un "dovere di morire” per non "essere di peso”, con un grave abbassamento della sensibilità morale collettiva che tutela le persone più fragili, spesso, peraltro, "invisibili”.</w:t>
      </w:r>
    </w:p>
    <w:p w14:paraId="598DA146"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Tale scivolamento colliderebbe frontalmente con il principio personalista che anima la Costituzione italiana.</w:t>
      </w:r>
    </w:p>
    <w:p w14:paraId="2970D65E"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Da questo principio deriva, invece, il dovere della Repubblica di rispondere all’appello che sgorga dalla fragilità, in modo che una persona malata possa avvertire la solidarietà attorno a sé non a tratti, non a prolungate intermittenze, ma in via continuativa, attraverso un percorso di effettiva presa in carico da parte del sistema sanitario e sociale.</w:t>
      </w:r>
    </w:p>
    <w:p w14:paraId="68DCA91D"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Diventa quindi cruciale garantire adeguate forme di sostegno sociale, di assistenza sanitaria e sociosanitaria domiciliare continuativa, perché la presenza o meno di queste forme di assistenza condiziona le scelte della persona malata e può costituire lo spartiacque tra la scelta di vita e la richiesta di morte. È inoltre rilevante mettere a disposizione delle persone con malattie inguaribili tutti gli strumenti tecnologici e informatici che permettono loro di superare l’isolamento e ampliare la possibilità di comunicazione e interazione con gli altri. Al tempo stesso non può essere trascurato il "prendersi cura” anche di coloro che, nelle famiglie o all’interno delle relazioni affettive, assistono i pazienti in situazioni particolarmente difficili e per lunghi periodi.</w:t>
      </w:r>
    </w:p>
    <w:p w14:paraId="7450BCFC"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7.3.– Già nell’</w:t>
      </w:r>
      <w:hyperlink r:id="rId39" w:tgtFrame="_blank" w:history="1">
        <w:r w:rsidRPr="00F115CE">
          <w:rPr>
            <w:rFonts w:ascii="Lato" w:eastAsia="Times New Roman" w:hAnsi="Lato" w:cs="Times New Roman"/>
            <w:color w:val="0E10A1"/>
            <w:kern w:val="0"/>
            <w:sz w:val="23"/>
            <w:szCs w:val="23"/>
            <w:u w:val="single"/>
            <w:shd w:val="clear" w:color="auto" w:fill="FBFB68"/>
            <w:lang w:eastAsia="it-IT"/>
            <w14:ligatures w14:val="none"/>
          </w:rPr>
          <w:t>ordinanza n. 207 del 2018</w:t>
        </w:r>
      </w:hyperlink>
      <w:r w:rsidRPr="00F115CE">
        <w:rPr>
          <w:rFonts w:ascii="Lato" w:eastAsia="Times New Roman" w:hAnsi="Lato" w:cs="Times New Roman"/>
          <w:color w:val="000000"/>
          <w:kern w:val="0"/>
          <w:sz w:val="23"/>
          <w:szCs w:val="23"/>
          <w:lang w:eastAsia="it-IT"/>
          <w14:ligatures w14:val="none"/>
        </w:rPr>
        <w:t> questa Corte aveva, peraltro, stigmatizzato il rischio di una «prematura rinuncia, da parte delle strutture sanitarie, a offrire sempre al paziente medesimo concrete possibilità di accedere a cure palliative» (punto 10 del Considerato in diritto), del resto inserite nell’ambito dei livelli essenziali di assistenza.</w:t>
      </w:r>
    </w:p>
    <w:p w14:paraId="586F0EA0"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Va evidenziato che, a oggi, in Italia: a) non è garantito un accesso universale ed equo alle cure palliative nei vari contesti sanitari, sia domiciliari che ospedalieri; b) vi sono spesso lunghe liste di attesa (intollerabili in relazione a chi versa in situazioni di grave sofferenza); c) si sconta una mancanza di personale adeguatamente formato e una distribuzione territoriale dell’offerta troppo divaricata (in tal senso Comitato nazionale per la bioetica, parere "Cure Palliative”, approvato il 14 dicembre 2023); d) la stessa effettiva presa in carico da parte del servizio sociosanitario, per queste persone, è a volte insufficiente.</w:t>
      </w:r>
    </w:p>
    <w:p w14:paraId="3790EC5D"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Questa Corte, pertanto, non può che rinnovare, con decisione, lo «stringente appello» al legislatore (</w:t>
      </w:r>
      <w:hyperlink r:id="rId40" w:tgtFrame="_blank" w:history="1">
        <w:r w:rsidRPr="00F115CE">
          <w:rPr>
            <w:rFonts w:ascii="Lato" w:eastAsia="Times New Roman" w:hAnsi="Lato" w:cs="Times New Roman"/>
            <w:color w:val="0E10A1"/>
            <w:kern w:val="0"/>
            <w:sz w:val="23"/>
            <w:szCs w:val="23"/>
            <w:u w:val="single"/>
            <w:shd w:val="clear" w:color="auto" w:fill="FBFB68"/>
            <w:lang w:eastAsia="it-IT"/>
            <w14:ligatures w14:val="none"/>
          </w:rPr>
          <w:t>sentenza n. 135 del 2024, punto 10 del Considerato in diritto</w:t>
        </w:r>
      </w:hyperlink>
      <w:r w:rsidRPr="00F115CE">
        <w:rPr>
          <w:rFonts w:ascii="Lato" w:eastAsia="Times New Roman" w:hAnsi="Lato" w:cs="Times New Roman"/>
          <w:color w:val="000000"/>
          <w:kern w:val="0"/>
          <w:sz w:val="23"/>
          <w:szCs w:val="23"/>
          <w:lang w:eastAsia="it-IT"/>
          <w14:ligatures w14:val="none"/>
        </w:rPr>
        <w:t>) affinché dia corso a un adeguato sviluppo delle reti di cure palliative e di una effettiva presa in carico da parte del sistema sanitario e sociosanitario, al fine di evitare un ricorso improprio al suicidio assistito.</w:t>
      </w:r>
    </w:p>
    <w:p w14:paraId="4DC87643"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8.– Va, infine, ribadito con forza l’auspicio, già formulato nell’</w:t>
      </w:r>
      <w:hyperlink r:id="rId41" w:tgtFrame="_blank" w:history="1">
        <w:r w:rsidRPr="00F115CE">
          <w:rPr>
            <w:rFonts w:ascii="Lato" w:eastAsia="Times New Roman" w:hAnsi="Lato" w:cs="Times New Roman"/>
            <w:color w:val="0E10A1"/>
            <w:kern w:val="0"/>
            <w:sz w:val="23"/>
            <w:szCs w:val="23"/>
            <w:u w:val="single"/>
            <w:shd w:val="clear" w:color="auto" w:fill="FBFB68"/>
            <w:lang w:eastAsia="it-IT"/>
            <w14:ligatures w14:val="none"/>
          </w:rPr>
          <w:t>ordinanza n. 207 del 2018</w:t>
        </w:r>
      </w:hyperlink>
      <w:r w:rsidRPr="00F115CE">
        <w:rPr>
          <w:rFonts w:ascii="Lato" w:eastAsia="Times New Roman" w:hAnsi="Lato" w:cs="Times New Roman"/>
          <w:color w:val="000000"/>
          <w:kern w:val="0"/>
          <w:sz w:val="23"/>
          <w:szCs w:val="23"/>
          <w:lang w:eastAsia="it-IT"/>
          <w14:ligatures w14:val="none"/>
        </w:rPr>
        <w:t>, nella </w:t>
      </w:r>
      <w:hyperlink r:id="rId42" w:tgtFrame="_blank" w:history="1">
        <w:r w:rsidRPr="00F115CE">
          <w:rPr>
            <w:rFonts w:ascii="Lato" w:eastAsia="Times New Roman" w:hAnsi="Lato" w:cs="Times New Roman"/>
            <w:color w:val="0E10A1"/>
            <w:kern w:val="0"/>
            <w:sz w:val="23"/>
            <w:szCs w:val="23"/>
            <w:u w:val="single"/>
            <w:shd w:val="clear" w:color="auto" w:fill="FBFB68"/>
            <w:lang w:eastAsia="it-IT"/>
            <w14:ligatures w14:val="none"/>
          </w:rPr>
          <w:t>sentenza n. 242 del 2019</w:t>
        </w:r>
      </w:hyperlink>
      <w:r w:rsidRPr="00F115CE">
        <w:rPr>
          <w:rFonts w:ascii="Lato" w:eastAsia="Times New Roman" w:hAnsi="Lato" w:cs="Times New Roman"/>
          <w:color w:val="000000"/>
          <w:kern w:val="0"/>
          <w:sz w:val="23"/>
          <w:szCs w:val="23"/>
          <w:lang w:eastAsia="it-IT"/>
          <w14:ligatures w14:val="none"/>
        </w:rPr>
        <w:t> e da ultimo nella </w:t>
      </w:r>
      <w:hyperlink r:id="rId43" w:tgtFrame="_blank" w:history="1">
        <w:r w:rsidRPr="00F115CE">
          <w:rPr>
            <w:rFonts w:ascii="Lato" w:eastAsia="Times New Roman" w:hAnsi="Lato" w:cs="Times New Roman"/>
            <w:color w:val="0E10A1"/>
            <w:kern w:val="0"/>
            <w:sz w:val="23"/>
            <w:szCs w:val="23"/>
            <w:u w:val="single"/>
            <w:shd w:val="clear" w:color="auto" w:fill="FBFB68"/>
            <w:lang w:eastAsia="it-IT"/>
            <w14:ligatures w14:val="none"/>
          </w:rPr>
          <w:t>sentenza n. 135 del 2024</w:t>
        </w:r>
      </w:hyperlink>
      <w:r w:rsidRPr="00F115CE">
        <w:rPr>
          <w:rFonts w:ascii="Lato" w:eastAsia="Times New Roman" w:hAnsi="Lato" w:cs="Times New Roman"/>
          <w:color w:val="000000"/>
          <w:kern w:val="0"/>
          <w:sz w:val="23"/>
          <w:szCs w:val="23"/>
          <w:lang w:eastAsia="it-IT"/>
          <w14:ligatures w14:val="none"/>
        </w:rPr>
        <w:t xml:space="preserve">, che </w:t>
      </w:r>
      <w:r w:rsidRPr="00F115CE">
        <w:rPr>
          <w:rFonts w:ascii="Lato" w:eastAsia="Times New Roman" w:hAnsi="Lato" w:cs="Times New Roman"/>
          <w:color w:val="EE0000"/>
          <w:kern w:val="0"/>
          <w:sz w:val="23"/>
          <w:szCs w:val="23"/>
          <w:lang w:eastAsia="it-IT"/>
          <w14:ligatures w14:val="none"/>
        </w:rPr>
        <w:t>il legislatore e il Servizio sanitario nazionale intervengano prontamente ad assicurare concreta e puntuale attuazione a quanto stabilito dalla </w:t>
      </w:r>
      <w:hyperlink r:id="rId44" w:tgtFrame="_blank" w:history="1">
        <w:r w:rsidRPr="00F115CE">
          <w:rPr>
            <w:rFonts w:ascii="Lato" w:eastAsia="Times New Roman" w:hAnsi="Lato" w:cs="Times New Roman"/>
            <w:color w:val="EE0000"/>
            <w:kern w:val="0"/>
            <w:sz w:val="23"/>
            <w:szCs w:val="23"/>
            <w:u w:val="single"/>
            <w:shd w:val="clear" w:color="auto" w:fill="FBFB68"/>
            <w:lang w:eastAsia="it-IT"/>
            <w14:ligatures w14:val="none"/>
          </w:rPr>
          <w:t>sentenza n. 242 del 2019</w:t>
        </w:r>
      </w:hyperlink>
      <w:r w:rsidRPr="00F115CE">
        <w:rPr>
          <w:rFonts w:ascii="Lato" w:eastAsia="Times New Roman" w:hAnsi="Lato" w:cs="Times New Roman"/>
          <w:color w:val="EE0000"/>
          <w:kern w:val="0"/>
          <w:sz w:val="23"/>
          <w:szCs w:val="23"/>
          <w:lang w:eastAsia="it-IT"/>
          <w14:ligatures w14:val="none"/>
        </w:rPr>
        <w:t xml:space="preserve">, ferma restando la possibilità per il legislatore di dettare una diversa disciplina </w:t>
      </w:r>
      <w:r w:rsidRPr="00F115CE">
        <w:rPr>
          <w:rFonts w:ascii="Lato" w:eastAsia="Times New Roman" w:hAnsi="Lato" w:cs="Times New Roman"/>
          <w:color w:val="000000"/>
          <w:kern w:val="0"/>
          <w:sz w:val="23"/>
          <w:szCs w:val="23"/>
          <w:lang w:eastAsia="it-IT"/>
          <w14:ligatures w14:val="none"/>
        </w:rPr>
        <w:t>nel rispetto delle esigenze richiamate ancora una volta dalla presente pronuncia.</w:t>
      </w:r>
    </w:p>
    <w:p w14:paraId="1E6DD750" w14:textId="77777777" w:rsidR="00F115CE" w:rsidRPr="00F115CE" w:rsidRDefault="00F115CE" w:rsidP="00F115CE">
      <w:pPr>
        <w:shd w:val="clear" w:color="auto" w:fill="FFFFFF"/>
        <w:spacing w:after="150"/>
        <w:ind w:firstLine="300"/>
        <w:jc w:val="center"/>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per questi motivi</w:t>
      </w:r>
    </w:p>
    <w:p w14:paraId="76E9CBE9" w14:textId="77777777" w:rsidR="00F115CE" w:rsidRPr="00F115CE" w:rsidRDefault="00F115CE" w:rsidP="00F115CE">
      <w:pPr>
        <w:shd w:val="clear" w:color="auto" w:fill="FFFFFF"/>
        <w:spacing w:after="150"/>
        <w:ind w:firstLine="300"/>
        <w:jc w:val="center"/>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LA CORTE COSTITUZIONALE</w:t>
      </w:r>
    </w:p>
    <w:p w14:paraId="02409E2A"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 xml:space="preserve">dichiara non fondate le questioni di legittimità costituzionale dell’art. 580 del </w:t>
      </w:r>
      <w:proofErr w:type="gramStart"/>
      <w:r w:rsidRPr="00F115CE">
        <w:rPr>
          <w:rFonts w:ascii="Lato" w:eastAsia="Times New Roman" w:hAnsi="Lato" w:cs="Times New Roman"/>
          <w:color w:val="000000"/>
          <w:kern w:val="0"/>
          <w:sz w:val="23"/>
          <w:szCs w:val="23"/>
          <w:lang w:eastAsia="it-IT"/>
          <w14:ligatures w14:val="none"/>
        </w:rPr>
        <w:t>codice penale</w:t>
      </w:r>
      <w:proofErr w:type="gramEnd"/>
      <w:r w:rsidRPr="00F115CE">
        <w:rPr>
          <w:rFonts w:ascii="Lato" w:eastAsia="Times New Roman" w:hAnsi="Lato" w:cs="Times New Roman"/>
          <w:color w:val="000000"/>
          <w:kern w:val="0"/>
          <w:sz w:val="23"/>
          <w:szCs w:val="23"/>
          <w:lang w:eastAsia="it-IT"/>
          <w14:ligatures w14:val="none"/>
        </w:rPr>
        <w:t>, sollevate, in riferimento agli artt. 2, 3, 13, 32, secondo comma, e 117, primo comma, della Costituzione, quest’ultimo in relazione agli artt. 8 e 14 della Convenzione europea dei diritti dell’uomo, dal Giudice per le indagini preliminari del Tribunale ordinario di Milano con l’ordinanza indicata in epigrafe.</w:t>
      </w:r>
    </w:p>
    <w:p w14:paraId="04004FC2"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lastRenderedPageBreak/>
        <w:t>Così deciso in Roma, nella sede della Corte costituzionale, Palazzo della Consulta, il 27 marzo 2025.</w:t>
      </w:r>
    </w:p>
    <w:p w14:paraId="1B00762F"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F.to:</w:t>
      </w:r>
    </w:p>
    <w:p w14:paraId="7BC2B618"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Giovanni AMOROSO, Presidente</w:t>
      </w:r>
    </w:p>
    <w:p w14:paraId="77D0A4C9"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Francesco VIGANÒ</w:t>
      </w:r>
    </w:p>
    <w:p w14:paraId="1A4EACC8"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Luca ANTONINI, Redattori</w:t>
      </w:r>
    </w:p>
    <w:p w14:paraId="57472E93"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Roberto MILANA, Direttore della Cancelleria</w:t>
      </w:r>
    </w:p>
    <w:p w14:paraId="60D2A6E6" w14:textId="77777777" w:rsidR="00F115CE" w:rsidRPr="00F115CE" w:rsidRDefault="00F115CE" w:rsidP="00F115CE">
      <w:pPr>
        <w:shd w:val="clear" w:color="auto" w:fill="FFFFFF"/>
        <w:spacing w:after="150"/>
        <w:ind w:firstLine="300"/>
        <w:jc w:val="both"/>
        <w:rPr>
          <w:rFonts w:ascii="Lato" w:eastAsia="Times New Roman" w:hAnsi="Lato" w:cs="Times New Roman"/>
          <w:color w:val="000000"/>
          <w:kern w:val="0"/>
          <w:sz w:val="23"/>
          <w:szCs w:val="23"/>
          <w:lang w:eastAsia="it-IT"/>
          <w14:ligatures w14:val="none"/>
        </w:rPr>
      </w:pPr>
      <w:r w:rsidRPr="00F115CE">
        <w:rPr>
          <w:rFonts w:ascii="Lato" w:eastAsia="Times New Roman" w:hAnsi="Lato" w:cs="Times New Roman"/>
          <w:color w:val="000000"/>
          <w:kern w:val="0"/>
          <w:sz w:val="23"/>
          <w:szCs w:val="23"/>
          <w:lang w:eastAsia="it-IT"/>
          <w14:ligatures w14:val="none"/>
        </w:rPr>
        <w:t>Depositata in Cancelleria il 20 maggio 2025</w:t>
      </w:r>
    </w:p>
    <w:p w14:paraId="0C59BC2B" w14:textId="77777777" w:rsidR="00F115CE" w:rsidRPr="00F115CE" w:rsidRDefault="00F115CE" w:rsidP="00F115CE">
      <w:pPr>
        <w:rPr>
          <w:rFonts w:ascii="Times New Roman" w:eastAsia="Times New Roman" w:hAnsi="Times New Roman" w:cs="Times New Roman"/>
          <w:kern w:val="0"/>
          <w:lang w:eastAsia="it-IT"/>
          <w14:ligatures w14:val="none"/>
        </w:rPr>
      </w:pPr>
    </w:p>
    <w:p w14:paraId="16BAEE12" w14:textId="77777777" w:rsidR="004671F7" w:rsidRDefault="004671F7"/>
    <w:sectPr w:rsidR="004671F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5CE"/>
    <w:rsid w:val="004671F7"/>
    <w:rsid w:val="00534926"/>
    <w:rsid w:val="006E6AAA"/>
    <w:rsid w:val="00A04271"/>
    <w:rsid w:val="00C41445"/>
    <w:rsid w:val="00DC7456"/>
    <w:rsid w:val="00E105F7"/>
    <w:rsid w:val="00F115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BC39AB3"/>
  <w15:chartTrackingRefBased/>
  <w15:docId w15:val="{47BC8AEB-F522-604D-B5C0-8E45E5291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115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115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115C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115C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115C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115C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115C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115C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115C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115C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115C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115C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115C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115C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115C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115C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115C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115CE"/>
    <w:rPr>
      <w:rFonts w:eastAsiaTheme="majorEastAsia" w:cstheme="majorBidi"/>
      <w:color w:val="272727" w:themeColor="text1" w:themeTint="D8"/>
    </w:rPr>
  </w:style>
  <w:style w:type="paragraph" w:styleId="Titolo">
    <w:name w:val="Title"/>
    <w:basedOn w:val="Normale"/>
    <w:next w:val="Normale"/>
    <w:link w:val="TitoloCarattere"/>
    <w:uiPriority w:val="10"/>
    <w:qFormat/>
    <w:rsid w:val="00F115C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115C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115C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115C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115C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115CE"/>
    <w:rPr>
      <w:i/>
      <w:iCs/>
      <w:color w:val="404040" w:themeColor="text1" w:themeTint="BF"/>
    </w:rPr>
  </w:style>
  <w:style w:type="paragraph" w:styleId="Paragrafoelenco">
    <w:name w:val="List Paragraph"/>
    <w:basedOn w:val="Normale"/>
    <w:uiPriority w:val="34"/>
    <w:qFormat/>
    <w:rsid w:val="00F115CE"/>
    <w:pPr>
      <w:ind w:left="720"/>
      <w:contextualSpacing/>
    </w:pPr>
  </w:style>
  <w:style w:type="character" w:styleId="Enfasiintensa">
    <w:name w:val="Intense Emphasis"/>
    <w:basedOn w:val="Carpredefinitoparagrafo"/>
    <w:uiPriority w:val="21"/>
    <w:qFormat/>
    <w:rsid w:val="00F115CE"/>
    <w:rPr>
      <w:i/>
      <w:iCs/>
      <w:color w:val="0F4761" w:themeColor="accent1" w:themeShade="BF"/>
    </w:rPr>
  </w:style>
  <w:style w:type="paragraph" w:styleId="Citazioneintensa">
    <w:name w:val="Intense Quote"/>
    <w:basedOn w:val="Normale"/>
    <w:next w:val="Normale"/>
    <w:link w:val="CitazioneintensaCarattere"/>
    <w:uiPriority w:val="30"/>
    <w:qFormat/>
    <w:rsid w:val="00F115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115CE"/>
    <w:rPr>
      <w:i/>
      <w:iCs/>
      <w:color w:val="0F4761" w:themeColor="accent1" w:themeShade="BF"/>
    </w:rPr>
  </w:style>
  <w:style w:type="character" w:styleId="Riferimentointenso">
    <w:name w:val="Intense Reference"/>
    <w:basedOn w:val="Carpredefinitoparagrafo"/>
    <w:uiPriority w:val="32"/>
    <w:qFormat/>
    <w:rsid w:val="00F115CE"/>
    <w:rPr>
      <w:b/>
      <w:bCs/>
      <w:smallCaps/>
      <w:color w:val="0F4761" w:themeColor="accent1" w:themeShade="BF"/>
      <w:spacing w:val="5"/>
    </w:rPr>
  </w:style>
  <w:style w:type="paragraph" w:styleId="NormaleWeb">
    <w:name w:val="Normal (Web)"/>
    <w:basedOn w:val="Normale"/>
    <w:uiPriority w:val="99"/>
    <w:semiHidden/>
    <w:unhideWhenUsed/>
    <w:rsid w:val="00F115CE"/>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apple-converted-space">
    <w:name w:val="apple-converted-space"/>
    <w:basedOn w:val="Carpredefinitoparagrafo"/>
    <w:rsid w:val="00F115CE"/>
  </w:style>
  <w:style w:type="character" w:styleId="Collegamentoipertestuale">
    <w:name w:val="Hyperlink"/>
    <w:basedOn w:val="Carpredefinitoparagrafo"/>
    <w:uiPriority w:val="99"/>
    <w:semiHidden/>
    <w:unhideWhenUsed/>
    <w:rsid w:val="00F115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iurcost.org/decisioni/2019/0242s-19.html" TargetMode="External"/><Relationship Id="rId18" Type="http://schemas.openxmlformats.org/officeDocument/2006/relationships/hyperlink" Target="https://giurcost.org/decisioni/2024/0135s-24.html" TargetMode="External"/><Relationship Id="rId26" Type="http://schemas.openxmlformats.org/officeDocument/2006/relationships/hyperlink" Target="https://giurcost.org/decisioni/2018/0207o-18.html" TargetMode="External"/><Relationship Id="rId39" Type="http://schemas.openxmlformats.org/officeDocument/2006/relationships/hyperlink" Target="https://giurcost.org/decisioni/2018/0207o-18.html" TargetMode="External"/><Relationship Id="rId21" Type="http://schemas.openxmlformats.org/officeDocument/2006/relationships/hyperlink" Target="https://giurcost.org/decisioni/2018/0207o-18.html" TargetMode="External"/><Relationship Id="rId34" Type="http://schemas.openxmlformats.org/officeDocument/2006/relationships/hyperlink" Target="https://giurcost.org/decisioni/2019/0242s-19.html" TargetMode="External"/><Relationship Id="rId42" Type="http://schemas.openxmlformats.org/officeDocument/2006/relationships/hyperlink" Target="https://giurcost.org/decisioni/2019/0242s-19.html" TargetMode="External"/><Relationship Id="rId7" Type="http://schemas.openxmlformats.org/officeDocument/2006/relationships/hyperlink" Target="https://giurcost.org/decisioni/2024/0135s-24.html" TargetMode="External"/><Relationship Id="rId2" Type="http://schemas.openxmlformats.org/officeDocument/2006/relationships/settings" Target="settings.xml"/><Relationship Id="rId16" Type="http://schemas.openxmlformats.org/officeDocument/2006/relationships/hyperlink" Target="https://giurcost.org/decisioni/2024/0135s-24.html" TargetMode="External"/><Relationship Id="rId29" Type="http://schemas.openxmlformats.org/officeDocument/2006/relationships/hyperlink" Target="https://giurcost.org/decisioni/2024/0135s-24.html" TargetMode="External"/><Relationship Id="rId1" Type="http://schemas.openxmlformats.org/officeDocument/2006/relationships/styles" Target="styles.xml"/><Relationship Id="rId6" Type="http://schemas.openxmlformats.org/officeDocument/2006/relationships/hyperlink" Target="https://giurcost.org/decisioni/2019/0242s-19.html" TargetMode="External"/><Relationship Id="rId11" Type="http://schemas.openxmlformats.org/officeDocument/2006/relationships/hyperlink" Target="https://giurcost.org/decisioni/2019/0242s-19.html" TargetMode="External"/><Relationship Id="rId24" Type="http://schemas.openxmlformats.org/officeDocument/2006/relationships/hyperlink" Target="https://giurcost.org/decisioni/2022/0050s-22.html" TargetMode="External"/><Relationship Id="rId32" Type="http://schemas.openxmlformats.org/officeDocument/2006/relationships/hyperlink" Target="https://hudoc.echr.coe.int/?i=001-234151" TargetMode="External"/><Relationship Id="rId37" Type="http://schemas.openxmlformats.org/officeDocument/2006/relationships/hyperlink" Target="https://giurcost.org/decisioni/2018/0207o-18.html" TargetMode="External"/><Relationship Id="rId40" Type="http://schemas.openxmlformats.org/officeDocument/2006/relationships/hyperlink" Target="https://giurcost.org/decisioni/2024/0135s-24.html" TargetMode="External"/><Relationship Id="rId45" Type="http://schemas.openxmlformats.org/officeDocument/2006/relationships/fontTable" Target="fontTable.xml"/><Relationship Id="rId5" Type="http://schemas.openxmlformats.org/officeDocument/2006/relationships/hyperlink" Target="https://giurcost.org/decisioni/2024/0135s-24.html" TargetMode="External"/><Relationship Id="rId15" Type="http://schemas.openxmlformats.org/officeDocument/2006/relationships/hyperlink" Target="https://giurcost.org/decisioni/2024/0135s-24.html" TargetMode="External"/><Relationship Id="rId23" Type="http://schemas.openxmlformats.org/officeDocument/2006/relationships/hyperlink" Target="https://giurcost.org/decisioni/2024/0135s-24.html" TargetMode="External"/><Relationship Id="rId28" Type="http://schemas.openxmlformats.org/officeDocument/2006/relationships/hyperlink" Target="https://giurcost.org/decisioni/2022/0050s-22.html" TargetMode="External"/><Relationship Id="rId36" Type="http://schemas.openxmlformats.org/officeDocument/2006/relationships/hyperlink" Target="https://giurcost.org/decisioni/2019/0242s-19.html" TargetMode="External"/><Relationship Id="rId10" Type="http://schemas.openxmlformats.org/officeDocument/2006/relationships/hyperlink" Target="https://giurcost.org/decisioni/2024/0135s-24.html" TargetMode="External"/><Relationship Id="rId19" Type="http://schemas.openxmlformats.org/officeDocument/2006/relationships/hyperlink" Target="https://giurcost.org/decisioni/2024/0135s-24.html" TargetMode="External"/><Relationship Id="rId31" Type="http://schemas.openxmlformats.org/officeDocument/2006/relationships/hyperlink" Target="https://giurcost.org/decisioni/2018/0207o-18.html" TargetMode="External"/><Relationship Id="rId44" Type="http://schemas.openxmlformats.org/officeDocument/2006/relationships/hyperlink" Target="https://giurcost.org/decisioni/2019/0242s-19.html" TargetMode="External"/><Relationship Id="rId4" Type="http://schemas.openxmlformats.org/officeDocument/2006/relationships/hyperlink" Target="https://giurcost.org/decisioni/2024/0135s-24.html" TargetMode="External"/><Relationship Id="rId9" Type="http://schemas.openxmlformats.org/officeDocument/2006/relationships/hyperlink" Target="https://giurcost.org/decisioni/2019/0242s-19.html" TargetMode="External"/><Relationship Id="rId14" Type="http://schemas.openxmlformats.org/officeDocument/2006/relationships/hyperlink" Target="https://giurcost.org/decisioni/2024/0135s-24.html" TargetMode="External"/><Relationship Id="rId22" Type="http://schemas.openxmlformats.org/officeDocument/2006/relationships/hyperlink" Target="https://giurcost.org/decisioni/2018/0207o-18.html" TargetMode="External"/><Relationship Id="rId27" Type="http://schemas.openxmlformats.org/officeDocument/2006/relationships/hyperlink" Target="https://giurcost.org/decisioni/2024/0135s-24.html" TargetMode="External"/><Relationship Id="rId30" Type="http://schemas.openxmlformats.org/officeDocument/2006/relationships/hyperlink" Target="https://giurcost.org/decisioni/2024/0135s-24.html" TargetMode="External"/><Relationship Id="rId35" Type="http://schemas.openxmlformats.org/officeDocument/2006/relationships/hyperlink" Target="https://giurcost.org/decisioni/2018/0207o-18.html" TargetMode="External"/><Relationship Id="rId43" Type="http://schemas.openxmlformats.org/officeDocument/2006/relationships/hyperlink" Target="https://giurcost.org/decisioni/2024/0135s-24.html" TargetMode="External"/><Relationship Id="rId8" Type="http://schemas.openxmlformats.org/officeDocument/2006/relationships/hyperlink" Target="https://giurcost.org/decisioni/2019/0242s-19.html" TargetMode="External"/><Relationship Id="rId3" Type="http://schemas.openxmlformats.org/officeDocument/2006/relationships/webSettings" Target="webSettings.xml"/><Relationship Id="rId12" Type="http://schemas.openxmlformats.org/officeDocument/2006/relationships/hyperlink" Target="https://giurcost.org/decisioni/2024/0135s-24.html" TargetMode="External"/><Relationship Id="rId17" Type="http://schemas.openxmlformats.org/officeDocument/2006/relationships/hyperlink" Target="https://hudoc.echr.coe.int/?i=001-234151" TargetMode="External"/><Relationship Id="rId25" Type="http://schemas.openxmlformats.org/officeDocument/2006/relationships/hyperlink" Target="https://giurcost.org/decisioni/2018/0207o-18.html" TargetMode="External"/><Relationship Id="rId33" Type="http://schemas.openxmlformats.org/officeDocument/2006/relationships/hyperlink" Target="https://giurcost.org/decisioni/2024/0135s-24.html" TargetMode="External"/><Relationship Id="rId38" Type="http://schemas.openxmlformats.org/officeDocument/2006/relationships/hyperlink" Target="https://giurcost.org/decisioni/2024/0135s-24.html" TargetMode="External"/><Relationship Id="rId46" Type="http://schemas.openxmlformats.org/officeDocument/2006/relationships/theme" Target="theme/theme1.xml"/><Relationship Id="rId20" Type="http://schemas.openxmlformats.org/officeDocument/2006/relationships/hyperlink" Target="https://giurcost.org/decisioni/2024/0135s-24.html" TargetMode="External"/><Relationship Id="rId41" Type="http://schemas.openxmlformats.org/officeDocument/2006/relationships/hyperlink" Target="https://giurcost.org/decisioni/2018/0207o-18.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4705</Words>
  <Characters>26822</Characters>
  <Application>Microsoft Office Word</Application>
  <DocSecurity>0</DocSecurity>
  <Lines>223</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Padula Carlo</dc:creator>
  <cp:keywords/>
  <dc:description/>
  <cp:lastModifiedBy>Padula Carlo</cp:lastModifiedBy>
  <cp:revision>2</cp:revision>
  <dcterms:created xsi:type="dcterms:W3CDTF">2025-10-13T03:53:00Z</dcterms:created>
  <dcterms:modified xsi:type="dcterms:W3CDTF">2025-10-13T04:19:00Z</dcterms:modified>
</cp:coreProperties>
</file>