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43CE" w14:textId="4013CEFE" w:rsidR="00715AFB" w:rsidRPr="00715AFB" w:rsidRDefault="00715AFB" w:rsidP="00715AFB">
      <w:pPr>
        <w:shd w:val="clear" w:color="auto" w:fill="FFFFFF"/>
        <w:spacing w:after="150" w:line="338" w:lineRule="atLeast"/>
        <w:ind w:firstLine="284"/>
        <w:jc w:val="center"/>
        <w:rPr>
          <w:rFonts w:ascii="Lato" w:eastAsia="Times New Roman" w:hAnsi="Lato" w:cs="Times New Roman"/>
          <w:color w:val="000000"/>
          <w:kern w:val="0"/>
          <w:sz w:val="23"/>
          <w:szCs w:val="23"/>
          <w:lang w:eastAsia="it-IT"/>
          <w14:ligatures w14:val="none"/>
        </w:rPr>
      </w:pPr>
      <w:r>
        <w:rPr>
          <w:rFonts w:ascii="Lato" w:eastAsia="Times New Roman" w:hAnsi="Lato" w:cs="Times New Roman"/>
          <w:color w:val="000000"/>
          <w:kern w:val="0"/>
          <w:sz w:val="23"/>
          <w:szCs w:val="23"/>
          <w:lang w:eastAsia="it-IT"/>
          <w14:ligatures w14:val="none"/>
        </w:rPr>
        <w:t>242/2019</w:t>
      </w:r>
    </w:p>
    <w:p w14:paraId="3AF28A86" w14:textId="14FF007C" w:rsidR="00715AFB" w:rsidRPr="00715AFB" w:rsidRDefault="00715AFB" w:rsidP="00715AFB">
      <w:pPr>
        <w:shd w:val="clear" w:color="auto" w:fill="FFFFFF"/>
        <w:spacing w:after="150" w:line="338" w:lineRule="atLeast"/>
        <w:ind w:firstLine="284"/>
        <w:jc w:val="center"/>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i/>
          <w:iCs/>
          <w:color w:val="000000"/>
          <w:kern w:val="0"/>
          <w:sz w:val="23"/>
          <w:szCs w:val="23"/>
          <w:lang w:eastAsia="it-IT"/>
          <w14:ligatures w14:val="none"/>
        </w:rPr>
        <w:t>Considerato in diritto</w:t>
      </w:r>
    </w:p>
    <w:p w14:paraId="05B90D87"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1.– La Corte d’assise di Milano dubita della legittimità costituzionale dell’art. 580 del </w:t>
      </w:r>
      <w:proofErr w:type="gramStart"/>
      <w:r w:rsidRPr="00715AFB">
        <w:rPr>
          <w:rFonts w:ascii="Lato" w:eastAsia="Times New Roman" w:hAnsi="Lato" w:cs="Times New Roman"/>
          <w:color w:val="000000"/>
          <w:kern w:val="0"/>
          <w:sz w:val="23"/>
          <w:szCs w:val="23"/>
          <w:lang w:eastAsia="it-IT"/>
          <w14:ligatures w14:val="none"/>
        </w:rPr>
        <w:t>codice penale</w:t>
      </w:r>
      <w:proofErr w:type="gramEnd"/>
      <w:r w:rsidRPr="00715AFB">
        <w:rPr>
          <w:rFonts w:ascii="Lato" w:eastAsia="Times New Roman" w:hAnsi="Lato" w:cs="Times New Roman"/>
          <w:color w:val="000000"/>
          <w:kern w:val="0"/>
          <w:sz w:val="23"/>
          <w:szCs w:val="23"/>
          <w:lang w:eastAsia="it-IT"/>
          <w14:ligatures w14:val="none"/>
        </w:rPr>
        <w:t>, che prevede il reato di istigazione o aiuto al suicidio, sotto due distinti profili.</w:t>
      </w:r>
    </w:p>
    <w:p w14:paraId="2748952A"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1.1.– La Corte rimettente pone in discussione, in primo luogo, il perimetro applicativo della disposizione censurata, lamentando che – secondo il diritto vivente – essa incrimini le condotte di aiuto al suicidio «in alternativa alle condotte di istigazione e, quindi, a prescindere dal loro contributo alla determinazione o al rafforzamento del proposito di suicidio».</w:t>
      </w:r>
    </w:p>
    <w:p w14:paraId="268F2AAD"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La disposizione denunciata violerebbe, per questo verso, gli artt. 2 e 13, primo comma, della Costituzione, i quali, sancendo rispettivamente il «principio personalistico» – che pone l’uomo, e non lo Stato, al centro della vita sociale – e quello di inviolabilità della libertà personale, riconoscerebbero la libertà della persona di autodeterminarsi anche in ordine alla fine della propria esistenza, scegliendo quando e come essa debba aver luogo.</w:t>
      </w:r>
    </w:p>
    <w:p w14:paraId="5D64EE16"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La medesima disposizione si porrebbe, altresì, in contrasto con l’art. 117, primo comma, Cost., in relazione agli artt. 2 e 8 della Convenzione per la salvaguardia dei diritti dell’uomo e delle libertà fondamentali (CEDU), firmata a Roma il 4 novembre 1950, ratificata e resa esecutiva con legge 4 agosto 1955, n. 848, i quali, nel salvaguardare, rispettivamente, il diritto alla vita e il diritto al rispetto della vita privata, comporterebbero – in base all’interpretazione della Corte europea dei diritti dell’uomo – che l’individuo abbia il diritto di «decidere con quali mezzi e a che punto la propria vita finirà» e che l’intervento repressivo degli Stati in questo campo possa avere soltanto la finalità di evitare rischi di indebita influenza nei confronti di soggetti particolarmente vulnerabili.</w:t>
      </w:r>
    </w:p>
    <w:p w14:paraId="040EA786"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Alla luce di tutti i parametri evocati, risulterebbe, dunque, ingiustificata la punizione delle condotte di agevolazione dell’altrui suicidio che costituiscano mera attuazione di quanto autonomamente deciso da chi esercita la libertà in questione, senza influire in alcun modo sul percorso psichico del soggetto passivo, trattandosi di condotte non lesive del bene giuridico tutelato.</w:t>
      </w:r>
    </w:p>
    <w:p w14:paraId="413D77E0"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1.2.– La Corte milanese contesta, in secondo luogo, il trattamento sanzionatorio riservato alle condotte in questione, censurando l’art. 580 cod. </w:t>
      </w:r>
      <w:proofErr w:type="spellStart"/>
      <w:r w:rsidRPr="00715AFB">
        <w:rPr>
          <w:rFonts w:ascii="Lato" w:eastAsia="Times New Roman" w:hAnsi="Lato" w:cs="Times New Roman"/>
          <w:color w:val="000000"/>
          <w:kern w:val="0"/>
          <w:sz w:val="23"/>
          <w:szCs w:val="23"/>
          <w:lang w:eastAsia="it-IT"/>
          <w14:ligatures w14:val="none"/>
        </w:rPr>
        <w:t>pen</w:t>
      </w:r>
      <w:proofErr w:type="spellEnd"/>
      <w:r w:rsidRPr="00715AFB">
        <w:rPr>
          <w:rFonts w:ascii="Lato" w:eastAsia="Times New Roman" w:hAnsi="Lato" w:cs="Times New Roman"/>
          <w:color w:val="000000"/>
          <w:kern w:val="0"/>
          <w:sz w:val="23"/>
          <w:szCs w:val="23"/>
          <w:lang w:eastAsia="it-IT"/>
          <w14:ligatures w14:val="none"/>
        </w:rPr>
        <w:t>. «nella parte in cui prevede che le condotte di agevolazione dell’esecuzione del suicidio, che non incidano sul percorso deliberativo dell’aspirante suicida, siano sanzionabili con la pena della reclusione da 5 a 10 [</w:t>
      </w:r>
      <w:proofErr w:type="spellStart"/>
      <w:r w:rsidRPr="00715AFB">
        <w:rPr>
          <w:rFonts w:ascii="Lato" w:eastAsia="Times New Roman" w:hAnsi="Lato" w:cs="Times New Roman"/>
          <w:color w:val="000000"/>
          <w:kern w:val="0"/>
          <w:sz w:val="23"/>
          <w:szCs w:val="23"/>
          <w:lang w:eastAsia="it-IT"/>
          <w14:ligatures w14:val="none"/>
        </w:rPr>
        <w:t>recte</w:t>
      </w:r>
      <w:proofErr w:type="spellEnd"/>
      <w:r w:rsidRPr="00715AFB">
        <w:rPr>
          <w:rFonts w:ascii="Lato" w:eastAsia="Times New Roman" w:hAnsi="Lato" w:cs="Times New Roman"/>
          <w:color w:val="000000"/>
          <w:kern w:val="0"/>
          <w:sz w:val="23"/>
          <w:szCs w:val="23"/>
          <w:lang w:eastAsia="it-IT"/>
          <w14:ligatures w14:val="none"/>
        </w:rPr>
        <w:t>: 12] anni, senza distinzione rispetto alle condotte di istigazione».</w:t>
      </w:r>
    </w:p>
    <w:p w14:paraId="6E2CAF0E"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Sotto questo profilo, la norma censurata si porrebbe in contrasto con l’art. 3 Cost., essendo le condotte di istigazione al suicidio certamente più gravi, sotto il profilo causale, rispetto a quelle di chi abbia semplicemente contribuito alla realizzazione dell’altrui autonoma determinazione di porre fine alla propria esistenza, e risultando del tutto diverse, nei due casi, la volontà e la personalità dell’agente.</w:t>
      </w:r>
    </w:p>
    <w:p w14:paraId="43448E64"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lastRenderedPageBreak/>
        <w:t>Sarebbero violati, inoltre, gli artt. 13, 25, secondo comma, e 27, terzo comma, Cost., in forza dei quali la libertà dell’individuo può essere sacrificata solo a fronte della lesione di un bene giuridico non altrimenti evitabile e la sanzione deve essere proporzionata alla lesione provocata, così da prevenire la violazione e provvedere alla rieducazione del reo.</w:t>
      </w:r>
    </w:p>
    <w:p w14:paraId="38177828"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2.– Con l’</w:t>
      </w:r>
      <w:hyperlink r:id="rId4"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 xml:space="preserve">, questa Corte ha già formulato una serie di rilievi e tratto una serie di conclusioni in ordine al </w:t>
      </w:r>
      <w:proofErr w:type="spellStart"/>
      <w:r w:rsidRPr="00715AFB">
        <w:rPr>
          <w:rFonts w:ascii="Lato" w:eastAsia="Times New Roman" w:hAnsi="Lato" w:cs="Times New Roman"/>
          <w:color w:val="000000"/>
          <w:kern w:val="0"/>
          <w:sz w:val="23"/>
          <w:szCs w:val="23"/>
          <w:lang w:eastAsia="it-IT"/>
          <w14:ligatures w14:val="none"/>
        </w:rPr>
        <w:t>thema</w:t>
      </w:r>
      <w:proofErr w:type="spellEnd"/>
      <w:r w:rsidRPr="00715AFB">
        <w:rPr>
          <w:rFonts w:ascii="Lato" w:eastAsia="Times New Roman" w:hAnsi="Lato" w:cs="Times New Roman"/>
          <w:color w:val="000000"/>
          <w:kern w:val="0"/>
          <w:sz w:val="23"/>
          <w:szCs w:val="23"/>
          <w:lang w:eastAsia="it-IT"/>
          <w14:ligatures w14:val="none"/>
        </w:rPr>
        <w:t xml:space="preserve"> </w:t>
      </w:r>
      <w:proofErr w:type="spellStart"/>
      <w:r w:rsidRPr="00715AFB">
        <w:rPr>
          <w:rFonts w:ascii="Lato" w:eastAsia="Times New Roman" w:hAnsi="Lato" w:cs="Times New Roman"/>
          <w:color w:val="000000"/>
          <w:kern w:val="0"/>
          <w:sz w:val="23"/>
          <w:szCs w:val="23"/>
          <w:lang w:eastAsia="it-IT"/>
          <w14:ligatures w14:val="none"/>
        </w:rPr>
        <w:t>decidendum</w:t>
      </w:r>
      <w:proofErr w:type="spellEnd"/>
      <w:r w:rsidRPr="00715AFB">
        <w:rPr>
          <w:rFonts w:ascii="Lato" w:eastAsia="Times New Roman" w:hAnsi="Lato" w:cs="Times New Roman"/>
          <w:color w:val="000000"/>
          <w:kern w:val="0"/>
          <w:sz w:val="23"/>
          <w:szCs w:val="23"/>
          <w:lang w:eastAsia="it-IT"/>
          <w14:ligatures w14:val="none"/>
        </w:rPr>
        <w:t>. Gli uni e le altre sono, in questa sede, confermati. A essi si salda, in consecuzione logica, l’odierna decisione.</w:t>
      </w:r>
    </w:p>
    <w:p w14:paraId="77696A99"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2.1.– Con la citata ordinanza, questa Corte ha rilevato, anzitutto, come tra le questioni sollevate intercorra un rapporto di subordinazione implicita: interrogarsi sul quantum della pena ha, infatti, un senso solo ove le condotte avute di mira restino penalmente rilevanti e, dunque, solo in caso di </w:t>
      </w:r>
      <w:proofErr w:type="gramStart"/>
      <w:r w:rsidRPr="00715AFB">
        <w:rPr>
          <w:rFonts w:ascii="Lato" w:eastAsia="Times New Roman" w:hAnsi="Lato" w:cs="Times New Roman"/>
          <w:color w:val="000000"/>
          <w:kern w:val="0"/>
          <w:sz w:val="23"/>
          <w:szCs w:val="23"/>
          <w:lang w:eastAsia="it-IT"/>
          <w14:ligatures w14:val="none"/>
        </w:rPr>
        <w:t>mancato accoglimento</w:t>
      </w:r>
      <w:proofErr w:type="gramEnd"/>
      <w:r w:rsidRPr="00715AFB">
        <w:rPr>
          <w:rFonts w:ascii="Lato" w:eastAsia="Times New Roman" w:hAnsi="Lato" w:cs="Times New Roman"/>
          <w:color w:val="000000"/>
          <w:kern w:val="0"/>
          <w:sz w:val="23"/>
          <w:szCs w:val="23"/>
          <w:lang w:eastAsia="it-IT"/>
          <w14:ligatures w14:val="none"/>
        </w:rPr>
        <w:t xml:space="preserve"> delle questioni volte a ridisegnare i confini applicativi della fattispecie criminosa.</w:t>
      </w:r>
    </w:p>
    <w:p w14:paraId="222B6825"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Ha ritenuto, altresì, infondate le plurime eccezioni di inammissibilità formulate dall’Avvocatura generale dello Stato, ivi compresa quella di omessa sperimentazione dell’interpretazione conforme a Costituzione, rilevando come la prospettata interpretazione </w:t>
      </w:r>
      <w:proofErr w:type="spellStart"/>
      <w:r w:rsidRPr="00715AFB">
        <w:rPr>
          <w:rFonts w:ascii="Lato" w:eastAsia="Times New Roman" w:hAnsi="Lato" w:cs="Times New Roman"/>
          <w:color w:val="000000"/>
          <w:kern w:val="0"/>
          <w:sz w:val="23"/>
          <w:szCs w:val="23"/>
          <w:lang w:eastAsia="it-IT"/>
          <w14:ligatures w14:val="none"/>
        </w:rPr>
        <w:t>adeguatrice</w:t>
      </w:r>
      <w:proofErr w:type="spellEnd"/>
      <w:r w:rsidRPr="00715AFB">
        <w:rPr>
          <w:rFonts w:ascii="Lato" w:eastAsia="Times New Roman" w:hAnsi="Lato" w:cs="Times New Roman"/>
          <w:color w:val="000000"/>
          <w:kern w:val="0"/>
          <w:sz w:val="23"/>
          <w:szCs w:val="23"/>
          <w:lang w:eastAsia="it-IT"/>
          <w14:ligatures w14:val="none"/>
        </w:rPr>
        <w:t xml:space="preserve"> risulti incompatibile con il tenore letterale della norma censurata.</w:t>
      </w:r>
    </w:p>
    <w:p w14:paraId="764710F4"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2.2.– Nel merito, questa Corte ha escluso che – contrariamente a quanto sostenuto in via principale dal giudice a quo – l’incriminazione dell’aiuto al suicidio, ancorché non rafforzativo del proposito della vittima, possa ritenersi di per sé in contrasto con la Costituzione.</w:t>
      </w:r>
    </w:p>
    <w:p w14:paraId="1F6265B7"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Per sostenere il contrasto, non è pertinente, infatti, il riferimento del rimettente al diritto alla vita, riconosciuto implicitamente – come «primo dei diritti inviolabili dell’uomo» (</w:t>
      </w:r>
      <w:hyperlink r:id="rId5" w:history="1">
        <w:r w:rsidRPr="00715AFB">
          <w:rPr>
            <w:rFonts w:ascii="Lato" w:eastAsia="Times New Roman" w:hAnsi="Lato" w:cs="Times New Roman"/>
            <w:color w:val="0E10A1"/>
            <w:kern w:val="0"/>
            <w:sz w:val="23"/>
            <w:szCs w:val="23"/>
            <w:u w:val="single"/>
            <w:shd w:val="clear" w:color="auto" w:fill="FBFB68"/>
            <w:lang w:eastAsia="it-IT"/>
            <w14:ligatures w14:val="none"/>
          </w:rPr>
          <w:t>sentenza n. 223 del 1996</w:t>
        </w:r>
      </w:hyperlink>
      <w:r w:rsidRPr="00715AFB">
        <w:rPr>
          <w:rFonts w:ascii="Lato" w:eastAsia="Times New Roman" w:hAnsi="Lato" w:cs="Times New Roman"/>
          <w:color w:val="000000"/>
          <w:kern w:val="0"/>
          <w:sz w:val="23"/>
          <w:szCs w:val="23"/>
          <w:lang w:eastAsia="it-IT"/>
          <w14:ligatures w14:val="none"/>
        </w:rPr>
        <w:t>), in quanto presupposto per l’esercizio di tutti gli altri – dall’art. 2 Cost. (</w:t>
      </w:r>
      <w:hyperlink r:id="rId6" w:history="1">
        <w:r w:rsidRPr="00715AFB">
          <w:rPr>
            <w:rFonts w:ascii="Lato" w:eastAsia="Times New Roman" w:hAnsi="Lato" w:cs="Times New Roman"/>
            <w:color w:val="0E10A1"/>
            <w:kern w:val="0"/>
            <w:sz w:val="23"/>
            <w:szCs w:val="23"/>
            <w:u w:val="single"/>
            <w:shd w:val="clear" w:color="auto" w:fill="FBFB68"/>
            <w:lang w:eastAsia="it-IT"/>
            <w14:ligatures w14:val="none"/>
          </w:rPr>
          <w:t>sentenza n. 35 del 1997</w:t>
        </w:r>
      </w:hyperlink>
      <w:r w:rsidRPr="00715AFB">
        <w:rPr>
          <w:rFonts w:ascii="Lato" w:eastAsia="Times New Roman" w:hAnsi="Lato" w:cs="Times New Roman"/>
          <w:color w:val="000000"/>
          <w:kern w:val="0"/>
          <w:sz w:val="23"/>
          <w:szCs w:val="23"/>
          <w:lang w:eastAsia="it-IT"/>
          <w14:ligatures w14:val="none"/>
        </w:rPr>
        <w:t>), nonché, in modo esplicito, dall’art. 2 CEDU.</w:t>
      </w:r>
    </w:p>
    <w:p w14:paraId="1CE4E7BD"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«Dall’art. 2 Cost. – non diversamente che dall’art. 2 CEDU – discende il dovere dello Stato di tutelare la vita di ogni individuo: non quello – diametralmente opposto – di riconoscere all’individuo la possibilità di ottenere dallo Stato o da terzi un aiuto a morire. Che dal diritto alla vita, garantito dall’art. 2 CEDU, non possa derivare il diritto di rinunciare a vivere, e dunque un vero e proprio diritto a morire, è stato, del resto, da tempo affermato dalla Corte europea dei diritti dell’uomo, proprio in relazione alla tematica dell’aiuto al suicidio (</w:t>
      </w:r>
      <w:hyperlink r:id="rId7" w:history="1">
        <w:r w:rsidRPr="00715AFB">
          <w:rPr>
            <w:rFonts w:ascii="Lato" w:eastAsia="Times New Roman" w:hAnsi="Lato" w:cs="Times New Roman"/>
            <w:color w:val="0E10A1"/>
            <w:kern w:val="0"/>
            <w:sz w:val="23"/>
            <w:szCs w:val="23"/>
            <w:u w:val="single"/>
            <w:shd w:val="clear" w:color="auto" w:fill="FBFB68"/>
            <w:lang w:eastAsia="it-IT"/>
            <w14:ligatures w14:val="none"/>
          </w:rPr>
          <w:t>sentenza 29 aprile 2002, Pretty contro Regno Unito</w:t>
        </w:r>
      </w:hyperlink>
      <w:r w:rsidRPr="00715AFB">
        <w:rPr>
          <w:rFonts w:ascii="Lato" w:eastAsia="Times New Roman" w:hAnsi="Lato" w:cs="Times New Roman"/>
          <w:color w:val="000000"/>
          <w:kern w:val="0"/>
          <w:sz w:val="23"/>
          <w:szCs w:val="23"/>
          <w:lang w:eastAsia="it-IT"/>
          <w14:ligatures w14:val="none"/>
        </w:rPr>
        <w:t>)» (</w:t>
      </w:r>
      <w:hyperlink r:id="rId8"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149AF15D" w14:textId="77777777" w:rsidR="00715AFB" w:rsidRPr="00715AFB" w:rsidRDefault="00715AFB" w:rsidP="00715AFB">
      <w:pPr>
        <w:shd w:val="clear" w:color="auto" w:fill="FFFFFF"/>
        <w:spacing w:after="150" w:line="338" w:lineRule="atLeast"/>
        <w:ind w:firstLine="284"/>
        <w:jc w:val="both"/>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Neppure, poi, è possibile desumere la generale inoffensività dell’aiuto al suicidio da un generico diritto all’autodeterminazione individuale, riferibile anche al bene della vita: diritto che il rimettente ricava dagli artt. 2 e 13, primo comma, Cost. A prescindere dalle concezioni di cui era portatore il legislatore del 1930, la ratio dell’art. 580 cod. </w:t>
      </w:r>
      <w:proofErr w:type="spellStart"/>
      <w:r w:rsidRPr="00715AFB">
        <w:rPr>
          <w:rFonts w:ascii="Lato" w:eastAsia="Times New Roman" w:hAnsi="Lato" w:cs="Times New Roman"/>
          <w:color w:val="000000"/>
          <w:kern w:val="0"/>
          <w:sz w:val="23"/>
          <w:szCs w:val="23"/>
          <w:lang w:eastAsia="it-IT"/>
          <w14:ligatures w14:val="none"/>
        </w:rPr>
        <w:t>pen</w:t>
      </w:r>
      <w:proofErr w:type="spellEnd"/>
      <w:r w:rsidRPr="00715AFB">
        <w:rPr>
          <w:rFonts w:ascii="Lato" w:eastAsia="Times New Roman" w:hAnsi="Lato" w:cs="Times New Roman"/>
          <w:color w:val="000000"/>
          <w:kern w:val="0"/>
          <w:sz w:val="23"/>
          <w:szCs w:val="23"/>
          <w:lang w:eastAsia="it-IT"/>
          <w14:ligatures w14:val="none"/>
        </w:rPr>
        <w:t xml:space="preserve">. può essere agevolmente scorta, alla luce del vigente quadro costituzionale, nella «tutela del diritto alla vita, soprattutto delle persone più deboli e vulnerabili, che l’ordinamento penale intende proteggere da una scelta estrema e irreparabile, come quella del suicidio. Essa assolve allo scopo, di perdurante attualità, di tutelare le persone che attraversano difficoltà e sofferenze, anche per scongiurare il pericolo </w:t>
      </w:r>
      <w:r w:rsidRPr="00715AFB">
        <w:rPr>
          <w:rFonts w:ascii="Lato" w:eastAsia="Times New Roman" w:hAnsi="Lato" w:cs="Times New Roman"/>
          <w:color w:val="000000"/>
          <w:kern w:val="0"/>
          <w:sz w:val="23"/>
          <w:szCs w:val="23"/>
          <w:lang w:eastAsia="it-IT"/>
          <w14:ligatures w14:val="none"/>
        </w:rPr>
        <w:lastRenderedPageBreak/>
        <w:t>che coloro che decidono di porre in atto il gesto estremo e irreversibile del suicidio subiscano interferenze di ogni genere» (</w:t>
      </w:r>
      <w:hyperlink r:id="rId9"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172A3D00"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Le medesime considerazioni valgono, altresì, ad escludere che la norma censurata si ponga, sempre e comunque sia, in contrasto con l’art. 8 CEDU, il quale sancisce il diritto di ciascun individuo al rispetto della propria vita privata: conclusione, questa, confermata dalla pertinente giurisprudenza della Corte europea dei diritti dell’uomo.</w:t>
      </w:r>
    </w:p>
    <w:p w14:paraId="4A72F607"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2.3.– All’interno del </w:t>
      </w:r>
      <w:proofErr w:type="spellStart"/>
      <w:r w:rsidRPr="00715AFB">
        <w:rPr>
          <w:rFonts w:ascii="Lato" w:eastAsia="Times New Roman" w:hAnsi="Lato" w:cs="Times New Roman"/>
          <w:color w:val="000000"/>
          <w:kern w:val="0"/>
          <w:sz w:val="23"/>
          <w:szCs w:val="23"/>
          <w:lang w:eastAsia="it-IT"/>
          <w14:ligatures w14:val="none"/>
        </w:rPr>
        <w:t>petitum</w:t>
      </w:r>
      <w:proofErr w:type="spellEnd"/>
      <w:r w:rsidRPr="00715AFB">
        <w:rPr>
          <w:rFonts w:ascii="Lato" w:eastAsia="Times New Roman" w:hAnsi="Lato" w:cs="Times New Roman"/>
          <w:color w:val="000000"/>
          <w:kern w:val="0"/>
          <w:sz w:val="23"/>
          <w:szCs w:val="23"/>
          <w:lang w:eastAsia="it-IT"/>
          <w14:ligatures w14:val="none"/>
        </w:rPr>
        <w:t xml:space="preserve"> principale del rimettente, questa Corte ha individuato, nondimeno, una circoscritta area di non conformità costituzionale della fattispecie criminosa, corrispondente segnatamente ai casi in cui l’aspirante suicida si identifichi – come nella vicenda oggetto del giudizio a quo – in una persona «(a) affetta da una patologia irreversibile e (b) fonte di sofferenze fisiche o psicologiche, che trova assolutamente intollerabili, la quale sia (c) tenuta in vita a mezzo di trattamenti di sostegno vitale, ma resti (d) capace di prendere decisioni libere e consapevoli» (</w:t>
      </w:r>
      <w:hyperlink r:id="rId10"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375539E5"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Si tratta di «situazioni inimmaginabili all’epoca in cui la norma incriminatrice fu introdotta, ma portate sotto la sua sfera applicativa dagli sviluppi della scienza medica e della tecnologia, spesso capaci di strappare alla morte pazienti in condizioni estremamente compromesse, ma non di restituire loro una sufficienza di funzioni vitali». In tali casi, l’assistenza di terzi nel porre fine alla sua vita può presentarsi al malato come l’unico modo per sottrarsi, secondo le proprie scelte individuali, a un mantenimento artificiale in vita non più voluto e che egli ha il diritto di rifiutare in base all’art. 32, secondo comma, Cost. Parametro, questo, non evocato nel dispositivo nell’ordinanza di rimessione, ma più volte richiamato in motivazione.</w:t>
      </w:r>
    </w:p>
    <w:p w14:paraId="5B9AC761"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Nei casi considerati – ha osservato questa Corte – la decisione di accogliere la morte potrebbe essere già presa dal malato, sulla base della legislazione vigente, con effetti vincolanti nei confronti dei terzi, a mezzo della richiesta di interruzione dei trattamenti di sostegno vitale in atto e di contestuale sottoposizione a sedazione profonda continua. Ciò, in forza della legge 22 dicembre 2017, n. 219 (Norme in materia di consenso informato e di disposizioni anticipate di trattamento), la cui disciplina recepisce e sviluppa, nella sostanza, le conclusioni alle quali era già pervenuta all’epoca la giurisprudenza ordinaria – in particolare a seguito delle sentenze sui casi Welby (Giudice dell’udienza preliminare del Tribunale ordinario di Roma, sentenza 23 luglio-17 ottobre 2007, n. 2049) ed Englaro (Corte di cassazione, sezione prima civile, sentenza 16 ottobre 2007, n. 21748) – nonché le indicazioni di questa Corte riguardo al valore costituzionale del principio del consenso informato del paziente al trattamento sanitario proposto dal medico (</w:t>
      </w:r>
      <w:hyperlink r:id="rId11"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 principio qualificabile come vero e proprio diritto della persona, che trova fondamento nei principi espressi negli artt. 2, 13 e 32 Cost. (sentenze </w:t>
      </w:r>
      <w:hyperlink r:id="rId12" w:history="1">
        <w:r w:rsidRPr="00715AFB">
          <w:rPr>
            <w:rFonts w:ascii="Lato" w:eastAsia="Times New Roman" w:hAnsi="Lato" w:cs="Times New Roman"/>
            <w:color w:val="0E10A1"/>
            <w:kern w:val="0"/>
            <w:sz w:val="23"/>
            <w:szCs w:val="23"/>
            <w:u w:val="single"/>
            <w:shd w:val="clear" w:color="auto" w:fill="FBFB68"/>
            <w:lang w:eastAsia="it-IT"/>
            <w14:ligatures w14:val="none"/>
          </w:rPr>
          <w:t>n. 253 del 2009</w:t>
        </w:r>
      </w:hyperlink>
      <w:r w:rsidRPr="00715AFB">
        <w:rPr>
          <w:rFonts w:ascii="Lato" w:eastAsia="Times New Roman" w:hAnsi="Lato" w:cs="Times New Roman"/>
          <w:color w:val="000000"/>
          <w:kern w:val="0"/>
          <w:sz w:val="23"/>
          <w:szCs w:val="23"/>
          <w:lang w:eastAsia="it-IT"/>
          <w14:ligatures w14:val="none"/>
        </w:rPr>
        <w:t> e </w:t>
      </w:r>
      <w:hyperlink r:id="rId13" w:history="1">
        <w:r w:rsidRPr="00715AFB">
          <w:rPr>
            <w:rFonts w:ascii="Lato" w:eastAsia="Times New Roman" w:hAnsi="Lato" w:cs="Times New Roman"/>
            <w:color w:val="0E10A1"/>
            <w:kern w:val="0"/>
            <w:sz w:val="23"/>
            <w:szCs w:val="23"/>
            <w:u w:val="single"/>
            <w:shd w:val="clear" w:color="auto" w:fill="FBFB68"/>
            <w:lang w:eastAsia="it-IT"/>
            <w14:ligatures w14:val="none"/>
          </w:rPr>
          <w:t>n. 438 del 2008</w:t>
        </w:r>
      </w:hyperlink>
      <w:r w:rsidRPr="00715AFB">
        <w:rPr>
          <w:rFonts w:ascii="Lato" w:eastAsia="Times New Roman" w:hAnsi="Lato" w:cs="Times New Roman"/>
          <w:color w:val="000000"/>
          <w:kern w:val="0"/>
          <w:sz w:val="23"/>
          <w:szCs w:val="23"/>
          <w:lang w:eastAsia="it-IT"/>
          <w14:ligatures w14:val="none"/>
        </w:rPr>
        <w:t>).</w:t>
      </w:r>
    </w:p>
    <w:p w14:paraId="5BDFAF20"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La citata legge n. 219 del 2017 riconosce, infatti, ad «[o]</w:t>
      </w:r>
      <w:proofErr w:type="spellStart"/>
      <w:r w:rsidRPr="00715AFB">
        <w:rPr>
          <w:rFonts w:ascii="Lato" w:eastAsia="Times New Roman" w:hAnsi="Lato" w:cs="Times New Roman"/>
          <w:color w:val="000000"/>
          <w:kern w:val="0"/>
          <w:sz w:val="23"/>
          <w:szCs w:val="23"/>
          <w:lang w:eastAsia="it-IT"/>
          <w14:ligatures w14:val="none"/>
        </w:rPr>
        <w:t>gni</w:t>
      </w:r>
      <w:proofErr w:type="spellEnd"/>
      <w:r w:rsidRPr="00715AFB">
        <w:rPr>
          <w:rFonts w:ascii="Lato" w:eastAsia="Times New Roman" w:hAnsi="Lato" w:cs="Times New Roman"/>
          <w:color w:val="000000"/>
          <w:kern w:val="0"/>
          <w:sz w:val="23"/>
          <w:szCs w:val="23"/>
          <w:lang w:eastAsia="it-IT"/>
          <w14:ligatures w14:val="none"/>
        </w:rPr>
        <w:t xml:space="preserve"> persona capace di agire» il diritto di rifiutare o interrompere qualsiasi trattamento sanitario, ancorché necessario alla propria sopravvivenza, comprendendo espressamente nella relativa nozione anche i trattamenti di idratazione e nutrizione artificiale (art. 1, comma 5): diritto inquadrato nel contesto della «relazione di cura e di fiducia» tra paziente e medico. In ogni caso, il medico «è tenuto a rispettare </w:t>
      </w:r>
      <w:r w:rsidRPr="00715AFB">
        <w:rPr>
          <w:rFonts w:ascii="Lato" w:eastAsia="Times New Roman" w:hAnsi="Lato" w:cs="Times New Roman"/>
          <w:color w:val="000000"/>
          <w:kern w:val="0"/>
          <w:sz w:val="23"/>
          <w:szCs w:val="23"/>
          <w:lang w:eastAsia="it-IT"/>
          <w14:ligatures w14:val="none"/>
        </w:rPr>
        <w:lastRenderedPageBreak/>
        <w:t>la volontà espressa dal paziente di rifiutare il trattamento sanitario o di rinunciare al medesimo», rimanendo, «in conseguenza di ciò, […] esente da responsabilità civile o penale» (art. 1, comma 6).</w:t>
      </w:r>
    </w:p>
    <w:p w14:paraId="2F4E4521"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Integrando le previsioni della legge 15 marzo 2010, n. 38 (Disposizioni per garantire l’accesso alle cure palliative e alla terapia del dolore) – che tutela e garantisce l’accesso alle cure palliative e alla terapia del dolore da parte del paziente, inserendole nell’ambito dei livelli essenziali di assistenza – la legge n. 219 del 2017 prevede che la richiesta di sospensione dei trattamenti sanitari possa essere associata alla richiesta di terapie palliative, allo scopo di alleviare le sofferenze del paziente (art. 2, comma 1). Lo stesso art. 2 stabilisce inoltre, al comma 2, che il medico possa, con il consenso del paziente, ricorrere alla sedazione palliativa profonda continua in associazione con la terapia del dolore, per fronteggiare sofferenze refrattarie ai trattamenti sanitari. Disposizione, questa, che «non può non riferirsi anche alle sofferenze provocate al paziente dal suo legittimo rifiuto di trattamenti di sostegno vitale, quali la ventilazione, l’idratazione o l’alimentazione artificiali: scelta che innesca un processo di indebolimento delle funzioni organiche il cui esito – non necessariamente rapido – è la morte» (</w:t>
      </w:r>
      <w:hyperlink r:id="rId14"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68BEC90B"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La legislazione oggi in vigore non consente, invece, al medico di mettere a disposizione del paziente che versa nelle condizioni sopra descritte trattamenti diretti, non già ad eliminare le sue sofferenze, ma a determinarne la morte. Pertanto, il paziente, per congedarsi dalla vita, è costretto a subire un processo più lento e più carico di sofferenze per le persone che gli sono care. Ne è testimonianza il caso oggetto del giudizio principale, nel quale, «[s]</w:t>
      </w:r>
      <w:proofErr w:type="spellStart"/>
      <w:r w:rsidRPr="00715AFB">
        <w:rPr>
          <w:rFonts w:ascii="Lato" w:eastAsia="Times New Roman" w:hAnsi="Lato" w:cs="Times New Roman"/>
          <w:color w:val="000000"/>
          <w:kern w:val="0"/>
          <w:sz w:val="23"/>
          <w:szCs w:val="23"/>
          <w:lang w:eastAsia="it-IT"/>
          <w14:ligatures w14:val="none"/>
        </w:rPr>
        <w:t>econdo</w:t>
      </w:r>
      <w:proofErr w:type="spellEnd"/>
      <w:r w:rsidRPr="00715AFB">
        <w:rPr>
          <w:rFonts w:ascii="Lato" w:eastAsia="Times New Roman" w:hAnsi="Lato" w:cs="Times New Roman"/>
          <w:color w:val="000000"/>
          <w:kern w:val="0"/>
          <w:sz w:val="23"/>
          <w:szCs w:val="23"/>
          <w:lang w:eastAsia="it-IT"/>
          <w14:ligatures w14:val="none"/>
        </w:rPr>
        <w:t xml:space="preserve"> quanto ampiamente dedotto dalla parte costituita, […] l’interessato richiese l’assistenza al suicidio, scartando la soluzione dell’interruzione dei trattamenti di sostegno vitale con contestuale sottoposizione a sedazione profonda (soluzione che pure gli era stata prospettata), proprio perché quest’ultima non gli avrebbe assicurato una morte rapida. Non essendo egli, infatti, totalmente dipendente dal respiratore artificiale, la morte sarebbe sopravvenuta solo dopo un periodo di apprezzabile durata, quantificabile in alcuni giorni: modalità di porre fine alla propria esistenza che egli reputava non dignitosa e che i propri cari avrebbero dovuto condividere sul piano emotivo» (</w:t>
      </w:r>
      <w:hyperlink r:id="rId15"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7A33A4D4"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Al riguardo, occorre in effetti considerare che la sedazione profonda continua, connessa all’interruzione dei trattamenti di sostegno vitale – sedazione che rientra nel </w:t>
      </w:r>
      <w:proofErr w:type="spellStart"/>
      <w:r w:rsidRPr="00715AFB">
        <w:rPr>
          <w:rFonts w:ascii="Lato" w:eastAsia="Times New Roman" w:hAnsi="Lato" w:cs="Times New Roman"/>
          <w:color w:val="000000"/>
          <w:kern w:val="0"/>
          <w:sz w:val="23"/>
          <w:szCs w:val="23"/>
          <w:lang w:eastAsia="it-IT"/>
          <w14:ligatures w14:val="none"/>
        </w:rPr>
        <w:t>genus</w:t>
      </w:r>
      <w:proofErr w:type="spellEnd"/>
      <w:r w:rsidRPr="00715AFB">
        <w:rPr>
          <w:rFonts w:ascii="Lato" w:eastAsia="Times New Roman" w:hAnsi="Lato" w:cs="Times New Roman"/>
          <w:color w:val="000000"/>
          <w:kern w:val="0"/>
          <w:sz w:val="23"/>
          <w:szCs w:val="23"/>
          <w:lang w:eastAsia="it-IT"/>
          <w14:ligatures w14:val="none"/>
        </w:rPr>
        <w:t xml:space="preserve"> dei trattamenti sanitari – ha come effetto l’annullamento totale e definitivo della coscienza e della volontà del soggetto sino al momento del decesso. Si comprende, pertanto, come la sedazione terminale possa essere vissuta da taluni come una soluzione non accettabile.</w:t>
      </w:r>
    </w:p>
    <w:p w14:paraId="2A474032"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Nelle ipotesi configurate nel dettaglio all’inizio di questo punto 2.3. vengono messe in discussione, d’altronde, le esigenze di tutela che negli altri casi giustificano la repressione penale dell’aiuto al suicidio. Se, infatti, il fondamentale rilievo del valore della vita non esclude l’obbligo di rispettare la decisione del malato di porre fine alla propria esistenza tramite l’interruzione dei trattamenti sanitari – anche quando ciò richieda una condotta attiva, almeno sul piano naturalistico, da parte di terzi (quale il distacco o lo spegnimento di un macchinario, accompagnato dalla somministrazione di una sedazione profonda continua e di una terapia del </w:t>
      </w:r>
      <w:r w:rsidRPr="00715AFB">
        <w:rPr>
          <w:rFonts w:ascii="Lato" w:eastAsia="Times New Roman" w:hAnsi="Lato" w:cs="Times New Roman"/>
          <w:color w:val="000000"/>
          <w:kern w:val="0"/>
          <w:sz w:val="23"/>
          <w:szCs w:val="23"/>
          <w:lang w:eastAsia="it-IT"/>
          <w14:ligatures w14:val="none"/>
        </w:rPr>
        <w:lastRenderedPageBreak/>
        <w:t>dolore) – non vi è ragione per la quale il medesimo valore debba tradursi in un ostacolo assoluto, penalmente presidiato, all’accoglimento della richiesta del malato di un aiuto che valga a sottrarlo al decorso più lento conseguente all’anzidetta interruzione dei presidi di sostegno vitale. Quanto, poi, all’esigenza di proteggere le persone più vulnerabili, è ben vero che i malati irreversibili esposti a gravi sofferenze appartengono solitamente a tale categoria di soggetti. Ma è anche agevole osservare che, se chi è mantenuto in vita da un trattamento di sostegno artificiale è considerato dall’ordinamento in grado, a certe condizioni, di prendere la decisione di porre termine alla propria esistenza tramite l’interruzione di tale trattamento, non si vede la ragione per la quale la stessa persona, a determinate condizioni, non possa ugualmente decidere di concludere la propria esistenza con l’aiuto di altri.</w:t>
      </w:r>
    </w:p>
    <w:p w14:paraId="0A76764A"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FF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La conclusione è dunque che entro lo specifico ambito considerato</w:t>
      </w:r>
      <w:r w:rsidRPr="00715AFB">
        <w:rPr>
          <w:rFonts w:ascii="Lato" w:eastAsia="Times New Roman" w:hAnsi="Lato" w:cs="Times New Roman"/>
          <w:color w:val="FF0000"/>
          <w:kern w:val="0"/>
          <w:sz w:val="23"/>
          <w:szCs w:val="23"/>
          <w:lang w:eastAsia="it-IT"/>
          <w14:ligatures w14:val="none"/>
        </w:rPr>
        <w:t>, il divieto assoluto di aiuto al suicidio finisce per limitare ingiustificatamente nonché irragionevolmente la libertà di autodeterminazione del malato nella scelta delle terapie, comprese quelle finalizzate a liberarlo dalle sofferenze, scaturente dagli artt. 2, 13 e 32, secondo comma, Cost., imponendogli in ultima analisi un’unica modalità per congedarsi dalla vita.</w:t>
      </w:r>
    </w:p>
    <w:p w14:paraId="7DA4AA3A"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2.4.– Con la stessa </w:t>
      </w:r>
      <w:hyperlink r:id="rId16"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 questa Corte ha ritenuto, peraltro, di non poter porre rimedio – «almeno allo stato» – «al riscontrato vulnus», tramite una pronuncia meramente ablativa, riferita ai pazienti che versino nelle condizioni sopra indicate. Una simile soluzione avrebbe, infatti, generato il pericolo di lesione di altri valori costituzionalmente protetti, lasciando «del tutto priva di disciplina legale la prestazione di aiuto materiale ai pazienti in tali condizioni, in un ambito ad altissima sensibilità etico-sociale e rispetto al quale vanno con fermezza preclusi tutti i possibili abusi».</w:t>
      </w:r>
    </w:p>
    <w:p w14:paraId="31237FDD"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In assenza di una specifica disciplina della materia, infatti, «qualsiasi soggetto – anche non esercente una professione sanitaria – potrebbe lecitamente offrire, a casa propria o a domicilio, per spirito filantropico o a pagamento, assistenza al suicidio a pazienti che lo desiderino, senza alcun controllo ex ante sull’effettiva sussistenza, ad esempio, della loro capacità di autodeterminarsi, del carattere libero e informato della scelta da essi espressa e dell’irreversibilità della patologia da cui sono affetti». Conseguenze, quelle ora indicate, delle quali «questa Corte non può non farsi carico» (</w:t>
      </w:r>
      <w:hyperlink r:id="rId17"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39ED0073"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Una regolazione della materia, intesa ad evitare simili scenari, gravidi di pericoli per la vita di persone in situazione di vulnerabilità, è suscettibile peraltro di investire plurimi profili, ciascuno dei quali, a sua volta, variamente declinabile sulla base di scelte discrezionali: «come, ad esempio, le modalità di verifica medica della sussistenza dei presupposti in presenza dei quali una persona possa richiedere l’aiuto, la disciplina del relativo “processo medicalizzato”, l’eventuale riserva esclusiva di somministrazione di tali trattamenti al servizio sanitario nazionale, la possibilità di una obiezione di coscienza del personale sanitario coinvolto nella procedura».</w:t>
      </w:r>
    </w:p>
    <w:p w14:paraId="54371A56"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La disciplina potrebbe essere inoltre «introdotta, anziché mediante una mera modifica della disposizione penale di cui all’art. 580 cod. </w:t>
      </w:r>
      <w:proofErr w:type="spellStart"/>
      <w:r w:rsidRPr="00715AFB">
        <w:rPr>
          <w:rFonts w:ascii="Lato" w:eastAsia="Times New Roman" w:hAnsi="Lato" w:cs="Times New Roman"/>
          <w:color w:val="000000"/>
          <w:kern w:val="0"/>
          <w:sz w:val="23"/>
          <w:szCs w:val="23"/>
          <w:lang w:eastAsia="it-IT"/>
          <w14:ligatures w14:val="none"/>
        </w:rPr>
        <w:t>pen</w:t>
      </w:r>
      <w:proofErr w:type="spellEnd"/>
      <w:r w:rsidRPr="00715AFB">
        <w:rPr>
          <w:rFonts w:ascii="Lato" w:eastAsia="Times New Roman" w:hAnsi="Lato" w:cs="Times New Roman"/>
          <w:color w:val="000000"/>
          <w:kern w:val="0"/>
          <w:sz w:val="23"/>
          <w:szCs w:val="23"/>
          <w:lang w:eastAsia="it-IT"/>
          <w14:ligatures w14:val="none"/>
        </w:rPr>
        <w:t xml:space="preserve">., in questa sede censurata, inserendo la disciplina stessa nel contesto della legge n. 219 del 2017 e del suo spirito, in modo da inscrivere anche questa opzione nel quadro della “relazione di cura e di fiducia tra paziente e medico”, </w:t>
      </w:r>
      <w:r w:rsidRPr="00715AFB">
        <w:rPr>
          <w:rFonts w:ascii="Lato" w:eastAsia="Times New Roman" w:hAnsi="Lato" w:cs="Times New Roman"/>
          <w:color w:val="000000"/>
          <w:kern w:val="0"/>
          <w:sz w:val="23"/>
          <w:szCs w:val="23"/>
          <w:lang w:eastAsia="it-IT"/>
          <w14:ligatures w14:val="none"/>
        </w:rPr>
        <w:lastRenderedPageBreak/>
        <w:t>opportunamente valorizzata dall’art. 1 della legge medesima» (</w:t>
      </w:r>
      <w:hyperlink r:id="rId18"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 Potrebbe prospettarsi, ancora, l’esigenza di «introdurre una disciplina ad hoc per le vicende pregresse», anch’essa variamente calibrabile.</w:t>
      </w:r>
    </w:p>
    <w:p w14:paraId="60FA37EC"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Deve quindi, infine, essere sottolineata l’esigenza di adottare opportune cautele affinché «l’opzione della somministrazione di farmaci in grado di provocare entro un breve lasso di tempo la morte del paziente non comporti il rischio di alcuna prematura rinuncia, da parte delle strutture sanitarie, a offrire sempre al paziente medesimo concrete possibilità di accedere a cure palliative diverse dalla sedazione profonda continua, ove idonee a eliminare la sua sofferenza […] in accordo con l’impegno assunto dallo Stato con la citata legge n. 38 del 2010». Il coinvolgimento in un percorso di cure palliative deve costituire, infatti, «un </w:t>
      </w:r>
      <w:proofErr w:type="spellStart"/>
      <w:r w:rsidRPr="00715AFB">
        <w:rPr>
          <w:rFonts w:ascii="Lato" w:eastAsia="Times New Roman" w:hAnsi="Lato" w:cs="Times New Roman"/>
          <w:color w:val="000000"/>
          <w:kern w:val="0"/>
          <w:sz w:val="23"/>
          <w:szCs w:val="23"/>
          <w:lang w:eastAsia="it-IT"/>
          <w14:ligatures w14:val="none"/>
        </w:rPr>
        <w:t>pre</w:t>
      </w:r>
      <w:proofErr w:type="spellEnd"/>
      <w:r w:rsidRPr="00715AFB">
        <w:rPr>
          <w:rFonts w:ascii="Lato" w:eastAsia="Times New Roman" w:hAnsi="Lato" w:cs="Times New Roman"/>
          <w:color w:val="000000"/>
          <w:kern w:val="0"/>
          <w:sz w:val="23"/>
          <w:szCs w:val="23"/>
          <w:lang w:eastAsia="it-IT"/>
          <w14:ligatures w14:val="none"/>
        </w:rPr>
        <w:t>-requisito della scelta, in seguito, di qualsiasi percorso alternativo da parte del paziente» (come già prefigurato dall’</w:t>
      </w:r>
      <w:hyperlink r:id="rId19"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7A403B09"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Peraltro, nel parere del 18 luglio 2019 («Riflessioni bioetiche sul suicidio medicalmente assistito»), il Comitato nazionale per la bioetica, pur nella varietà delle posizioni espresse sulla legalizzazione del suicidio medicalmente assistito, ha sottolineato, all’unanimità, che la necessaria offerta effettiva di cure palliative e di terapia del dolore – che oggi sconta «molti ostacoli e difficoltà, specie nella disomogeneità territoriale dell’offerta del SSN, e nella mancanza di una formazione specifica nell’ambito delle professioni sanitarie» – dovrebbe rappresentare, invece, «una priorità assoluta per le politiche della sanità».</w:t>
      </w:r>
    </w:p>
    <w:p w14:paraId="0D25D477"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Si cadrebbe, altrimenti, nel paradosso di non punire l’aiuto al suicidio senza avere prima assicurato l’effettività del diritto alle cure palliative.</w:t>
      </w:r>
    </w:p>
    <w:p w14:paraId="7F548702"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2.5.– Questa Corte ha rilevato, da ultimo, come, in casi simili, essa abbia dichiarato l’inammissibilità della questione sollevata, accompagnandola con un monito al legislatore per l’introduzione della disciplina necessaria a rimuovere il vulnus costituzionale: pronuncia alla quale, ove il monito fosse rimasto senza riscontro, ha fatto seguito, di norma, una declaratoria di incostituzionalità.</w:t>
      </w:r>
    </w:p>
    <w:p w14:paraId="68CC5741"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Tale soluzione è stata ritenuta, tuttavia, non percorribile nella specie.</w:t>
      </w:r>
    </w:p>
    <w:p w14:paraId="023C384D"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La ricordata tecnica decisoria ha «l’effetto di lasciare in vita – e dunque esposta a ulteriori applicazioni, per un periodo di tempo non preventivabile – la normativa non conforme a Costituzione. La eventuale dichiarazione di incostituzionalità conseguente all’accertamento dell’inerzia legislativa presuppone, infatti, che venga sollevata una nuova questione di legittimità costituzionale, la quale può, peraltro, sopravvenire anche a notevole distanza di tempo dalla pronuncia della prima sentenza di inammissibilità, mentre nelle more la disciplina in discussione continua ad operare. Un simile effetto non può considerarsi consentito nel caso in esame, per le sue peculiari caratteristiche e per la rilevanza dei valori da esso coinvolti» (</w:t>
      </w:r>
      <w:hyperlink r:id="rId20"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5B4893B9"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Questa Corte ha ritenuto, quindi, di dover procedere in altro modo. Facendo leva sui «propri poteri di gestione del processo costituzionale», ha fissato, cioè, una nuova udienza di trattazione delle questioni, a undici mesi di distanza (segnatamente, al 24 settembre 2019): udienza in esito </w:t>
      </w:r>
      <w:r w:rsidRPr="00715AFB">
        <w:rPr>
          <w:rFonts w:ascii="Lato" w:eastAsia="Times New Roman" w:hAnsi="Lato" w:cs="Times New Roman"/>
          <w:color w:val="000000"/>
          <w:kern w:val="0"/>
          <w:sz w:val="23"/>
          <w:szCs w:val="23"/>
          <w:lang w:eastAsia="it-IT"/>
          <w14:ligatures w14:val="none"/>
        </w:rPr>
        <w:lastRenderedPageBreak/>
        <w:t>alla quale avrebbe potuto essere valutata l’eventuale sopravvenienza di una legge regolatrice della materia in conformità alle segnalate esigenze di tutela.</w:t>
      </w:r>
    </w:p>
    <w:p w14:paraId="0A58116E"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In questo modo, si è lasciata al Parlamento la possibilità di assumere le necessarie decisioni rimesse alla sua discrezionalità, ma si è evitato che, nel frattempo, la norma potesse trovare applicazione. Il giudizio a quo è rimasto, infatti, sospeso.</w:t>
      </w:r>
    </w:p>
    <w:p w14:paraId="6FA15EAF"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3.– Deve però ora prendersi atto di come </w:t>
      </w:r>
      <w:r w:rsidRPr="00715AFB">
        <w:rPr>
          <w:rFonts w:ascii="Lato" w:eastAsia="Times New Roman" w:hAnsi="Lato" w:cs="Times New Roman"/>
          <w:color w:val="FF0000"/>
          <w:kern w:val="0"/>
          <w:sz w:val="23"/>
          <w:szCs w:val="23"/>
          <w:lang w:eastAsia="it-IT"/>
          <w14:ligatures w14:val="none"/>
        </w:rPr>
        <w:t>nessuna normativa in materia sia sopravvenuta nelle more della nuova udienza. Né, d’altra parte, l’intervento del legislatore risulta imminente.</w:t>
      </w:r>
    </w:p>
    <w:p w14:paraId="1CBA427B"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I plurimi progetti di legge pure presentati in materia, di vario taglio, sono rimasti, infatti, tutti senza seguito.</w:t>
      </w:r>
    </w:p>
    <w:p w14:paraId="30953988"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Il relativo esame – iniziato presso la Camera dei deputati, quanto alle proposte di legge A.C. 1586 e abbinate – si è, infatti, arrestato alla fase della trattazione in commissione, senza che sia stato possibile addivenire neppure all’adozione di un testo unificato.</w:t>
      </w:r>
    </w:p>
    <w:p w14:paraId="67CCEFDE"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4.– In assenza di ogni determinazione da parte del Parlamento, questa Corte non può ulteriormente esimersi dal pronunciare sul merito delle questioni, in guisa da rimuovere il vulnus costituzionale già riscontrato con l’</w:t>
      </w:r>
      <w:hyperlink r:id="rId21"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3C1B1335"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Non è a ciò d’ostacolo la circostanza che – per quanto rilevato nella medesima ordinanza e come poco sopra ricordato – la decisione di illegittimità costituzionale faccia emergere specifiche esigenze di disciplina che, pur suscettibili di risposte differenziate da parte del legislatore, non possono comunque sia essere disattese.</w:t>
      </w:r>
    </w:p>
    <w:p w14:paraId="75BC9FE2"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Il rinvio disposto all’esito della precedente udienza risponde, infatti, con diversa tecnica, alla stessa logica che ispira, nella giurisprudenza di questa Corte, il collaudato </w:t>
      </w:r>
      <w:r w:rsidRPr="00715AFB">
        <w:rPr>
          <w:rFonts w:ascii="Lato" w:eastAsia="Times New Roman" w:hAnsi="Lato" w:cs="Times New Roman"/>
          <w:color w:val="FF0000"/>
          <w:kern w:val="0"/>
          <w:sz w:val="23"/>
          <w:szCs w:val="23"/>
          <w:lang w:eastAsia="it-IT"/>
          <w14:ligatures w14:val="none"/>
        </w:rPr>
        <w:t>meccanismo della “doppia pronuncia” (sentenza di inammissibilità “con monito” seguita, in caso di mancato recepimento di quest’ultimo, da declaratoria di incostituzionalità</w:t>
      </w:r>
      <w:r w:rsidRPr="00715AFB">
        <w:rPr>
          <w:rFonts w:ascii="Lato" w:eastAsia="Times New Roman" w:hAnsi="Lato" w:cs="Times New Roman"/>
          <w:color w:val="000000"/>
          <w:kern w:val="0"/>
          <w:sz w:val="23"/>
          <w:szCs w:val="23"/>
          <w:lang w:eastAsia="it-IT"/>
          <w14:ligatures w14:val="none"/>
        </w:rPr>
        <w:t xml:space="preserve">). </w:t>
      </w:r>
      <w:r w:rsidRPr="00715AFB">
        <w:rPr>
          <w:rFonts w:ascii="Lato" w:eastAsia="Times New Roman" w:hAnsi="Lato" w:cs="Times New Roman"/>
          <w:color w:val="FF0000"/>
          <w:kern w:val="0"/>
          <w:sz w:val="23"/>
          <w:szCs w:val="23"/>
          <w:lang w:eastAsia="it-IT"/>
          <w14:ligatures w14:val="none"/>
        </w:rPr>
        <w:t>Decorso un congruo periodo di tempo, l’esigenza di garantire la legalità costituzionale deve, comunque sia, prevalere su quella di lasciare spazio alla discrezionalità del legislatore</w:t>
      </w:r>
      <w:r w:rsidRPr="00715AFB">
        <w:rPr>
          <w:rFonts w:ascii="Lato" w:eastAsia="Times New Roman" w:hAnsi="Lato" w:cs="Times New Roman"/>
          <w:color w:val="000000"/>
          <w:kern w:val="0"/>
          <w:sz w:val="23"/>
          <w:szCs w:val="23"/>
          <w:lang w:eastAsia="it-IT"/>
          <w14:ligatures w14:val="none"/>
        </w:rPr>
        <w:t xml:space="preserve"> per la compiuta regolazione della materia, alla quale spetta la priorità.</w:t>
      </w:r>
    </w:p>
    <w:p w14:paraId="604E93D1"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Come più volte si è avuto modo di rilevare, «posta di fronte a un vulnus costituzionale, non sanabile in via interpretativa – tanto più se attinente a diritti fondamentali – la Corte è tenuta comunque a porvi rimedio» (sentenze </w:t>
      </w:r>
      <w:hyperlink r:id="rId22" w:history="1">
        <w:r w:rsidRPr="00715AFB">
          <w:rPr>
            <w:rFonts w:ascii="Lato" w:eastAsia="Times New Roman" w:hAnsi="Lato" w:cs="Times New Roman"/>
            <w:color w:val="0E10A1"/>
            <w:kern w:val="0"/>
            <w:sz w:val="23"/>
            <w:szCs w:val="23"/>
            <w:u w:val="single"/>
            <w:shd w:val="clear" w:color="auto" w:fill="FBFB68"/>
            <w:lang w:eastAsia="it-IT"/>
            <w14:ligatures w14:val="none"/>
          </w:rPr>
          <w:t>n. 162 del 2014</w:t>
        </w:r>
      </w:hyperlink>
      <w:r w:rsidRPr="00715AFB">
        <w:rPr>
          <w:rFonts w:ascii="Lato" w:eastAsia="Times New Roman" w:hAnsi="Lato" w:cs="Times New Roman"/>
          <w:color w:val="000000"/>
          <w:kern w:val="0"/>
          <w:sz w:val="23"/>
          <w:szCs w:val="23"/>
          <w:lang w:eastAsia="it-IT"/>
          <w14:ligatures w14:val="none"/>
        </w:rPr>
        <w:t> e </w:t>
      </w:r>
      <w:hyperlink r:id="rId23" w:history="1">
        <w:r w:rsidRPr="00715AFB">
          <w:rPr>
            <w:rFonts w:ascii="Lato" w:eastAsia="Times New Roman" w:hAnsi="Lato" w:cs="Times New Roman"/>
            <w:color w:val="0E10A1"/>
            <w:kern w:val="0"/>
            <w:sz w:val="23"/>
            <w:szCs w:val="23"/>
            <w:u w:val="single"/>
            <w:shd w:val="clear" w:color="auto" w:fill="FBFB68"/>
            <w:lang w:eastAsia="it-IT"/>
            <w14:ligatures w14:val="none"/>
          </w:rPr>
          <w:t>n. 113 del 2011</w:t>
        </w:r>
      </w:hyperlink>
      <w:r w:rsidRPr="00715AFB">
        <w:rPr>
          <w:rFonts w:ascii="Lato" w:eastAsia="Times New Roman" w:hAnsi="Lato" w:cs="Times New Roman"/>
          <w:color w:val="000000"/>
          <w:kern w:val="0"/>
          <w:sz w:val="23"/>
          <w:szCs w:val="23"/>
          <w:lang w:eastAsia="it-IT"/>
          <w14:ligatures w14:val="none"/>
        </w:rPr>
        <w:t>; analogamente </w:t>
      </w:r>
      <w:hyperlink r:id="rId24" w:history="1">
        <w:r w:rsidRPr="00715AFB">
          <w:rPr>
            <w:rFonts w:ascii="Lato" w:eastAsia="Times New Roman" w:hAnsi="Lato" w:cs="Times New Roman"/>
            <w:color w:val="0E10A1"/>
            <w:kern w:val="0"/>
            <w:sz w:val="23"/>
            <w:szCs w:val="23"/>
            <w:u w:val="single"/>
            <w:shd w:val="clear" w:color="auto" w:fill="FBFB68"/>
            <w:lang w:eastAsia="it-IT"/>
            <w14:ligatures w14:val="none"/>
          </w:rPr>
          <w:t>sentenza n. 96 del 2015</w:t>
        </w:r>
      </w:hyperlink>
      <w:r w:rsidRPr="00715AFB">
        <w:rPr>
          <w:rFonts w:ascii="Lato" w:eastAsia="Times New Roman" w:hAnsi="Lato" w:cs="Times New Roman"/>
          <w:color w:val="000000"/>
          <w:kern w:val="0"/>
          <w:sz w:val="23"/>
          <w:szCs w:val="23"/>
          <w:lang w:eastAsia="it-IT"/>
          <w14:ligatures w14:val="none"/>
        </w:rPr>
        <w:t xml:space="preserve">). </w:t>
      </w:r>
      <w:r w:rsidRPr="00715AFB">
        <w:rPr>
          <w:rFonts w:ascii="Lato" w:eastAsia="Times New Roman" w:hAnsi="Lato" w:cs="Times New Roman"/>
          <w:color w:val="FF0000"/>
          <w:kern w:val="0"/>
          <w:sz w:val="23"/>
          <w:szCs w:val="23"/>
          <w:lang w:eastAsia="it-IT"/>
          <w14:ligatures w14:val="none"/>
        </w:rPr>
        <w:t>Occorre, infatti, evitare che l’ordinamento presenti zone franche immuni dal sindacato di legittimità costituzionale: e ciò «specie negli ambiti, come quello penale, in cui è più impellente l’esigenza di assicurare una tutela effettiva dei diritti fondamentali</w:t>
      </w:r>
      <w:r w:rsidRPr="00715AFB">
        <w:rPr>
          <w:rFonts w:ascii="Lato" w:eastAsia="Times New Roman" w:hAnsi="Lato" w:cs="Times New Roman"/>
          <w:color w:val="000000"/>
          <w:kern w:val="0"/>
          <w:sz w:val="23"/>
          <w:szCs w:val="23"/>
          <w:lang w:eastAsia="it-IT"/>
          <w14:ligatures w14:val="none"/>
        </w:rPr>
        <w:t>, incisi dalle scelte del legislatore» (</w:t>
      </w:r>
      <w:hyperlink r:id="rId25" w:history="1">
        <w:r w:rsidRPr="00715AFB">
          <w:rPr>
            <w:rFonts w:ascii="Lato" w:eastAsia="Times New Roman" w:hAnsi="Lato" w:cs="Times New Roman"/>
            <w:color w:val="0E10A1"/>
            <w:kern w:val="0"/>
            <w:sz w:val="23"/>
            <w:szCs w:val="23"/>
            <w:u w:val="single"/>
            <w:shd w:val="clear" w:color="auto" w:fill="FBFB68"/>
            <w:lang w:eastAsia="it-IT"/>
            <w14:ligatures w14:val="none"/>
          </w:rPr>
          <w:t>sentenza n. 99 del 2019</w:t>
        </w:r>
      </w:hyperlink>
      <w:r w:rsidRPr="00715AFB">
        <w:rPr>
          <w:rFonts w:ascii="Lato" w:eastAsia="Times New Roman" w:hAnsi="Lato" w:cs="Times New Roman"/>
          <w:color w:val="000000"/>
          <w:kern w:val="0"/>
          <w:sz w:val="23"/>
          <w:szCs w:val="23"/>
          <w:lang w:eastAsia="it-IT"/>
          <w14:ligatures w14:val="none"/>
        </w:rPr>
        <w:t>).</w:t>
      </w:r>
    </w:p>
    <w:p w14:paraId="4189965D"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Risalente, nella giurisprudenza di questa Corte, è l’affermazione per cui non può essere ritenuta preclusiva della declaratoria di illegittimità costituzionale delle leggi la carenza di disciplina – reale o apparente – che da essa può derivarne, in ordine a determinati rapporti (</w:t>
      </w:r>
      <w:hyperlink r:id="rId26" w:history="1">
        <w:r w:rsidRPr="00715AFB">
          <w:rPr>
            <w:rFonts w:ascii="Lato" w:eastAsia="Times New Roman" w:hAnsi="Lato" w:cs="Times New Roman"/>
            <w:color w:val="0E10A1"/>
            <w:kern w:val="0"/>
            <w:sz w:val="23"/>
            <w:szCs w:val="23"/>
            <w:u w:val="single"/>
            <w:shd w:val="clear" w:color="auto" w:fill="FBFB68"/>
            <w:lang w:eastAsia="it-IT"/>
            <w14:ligatures w14:val="none"/>
          </w:rPr>
          <w:t>sentenza n. 59 del 1958</w:t>
        </w:r>
      </w:hyperlink>
      <w:r w:rsidRPr="00715AFB">
        <w:rPr>
          <w:rFonts w:ascii="Lato" w:eastAsia="Times New Roman" w:hAnsi="Lato" w:cs="Times New Roman"/>
          <w:color w:val="000000"/>
          <w:kern w:val="0"/>
          <w:sz w:val="23"/>
          <w:szCs w:val="23"/>
          <w:lang w:eastAsia="it-IT"/>
          <w14:ligatures w14:val="none"/>
        </w:rPr>
        <w:t xml:space="preserve">). Ove, però, i vuoti di disciplina, pure in sé variamente colmabili, rischino di risolversi a loro volta – come nel caso di specie – in una menomata protezione di diritti </w:t>
      </w:r>
      <w:r w:rsidRPr="00715AFB">
        <w:rPr>
          <w:rFonts w:ascii="Lato" w:eastAsia="Times New Roman" w:hAnsi="Lato" w:cs="Times New Roman"/>
          <w:color w:val="000000"/>
          <w:kern w:val="0"/>
          <w:sz w:val="23"/>
          <w:szCs w:val="23"/>
          <w:lang w:eastAsia="it-IT"/>
          <w14:ligatures w14:val="none"/>
        </w:rPr>
        <w:lastRenderedPageBreak/>
        <w:t xml:space="preserve">fondamentali (suscettibile anch’essa di protrarsi nel tempo, nel perdurare dell’inerzia legislativa), </w:t>
      </w:r>
      <w:r w:rsidRPr="00715AFB">
        <w:rPr>
          <w:rFonts w:ascii="Lato" w:eastAsia="Times New Roman" w:hAnsi="Lato" w:cs="Times New Roman"/>
          <w:color w:val="FF0000"/>
          <w:kern w:val="0"/>
          <w:sz w:val="23"/>
          <w:szCs w:val="23"/>
          <w:lang w:eastAsia="it-IT"/>
          <w14:ligatures w14:val="none"/>
        </w:rPr>
        <w:t xml:space="preserve">questa Corte può e deve farsi carico dell’esigenza di evitarli, non limitandosi a un annullamento “secco” della norma incostituzionale, ma ricavando dalle coordinate del sistema vigente i criteri di riempimento costituzionalmente necessari, ancorché non a contenuto costituzionalmente vincolato, fin tanto che sulla materia non intervenga il Parlamento </w:t>
      </w:r>
      <w:r w:rsidRPr="00715AFB">
        <w:rPr>
          <w:rFonts w:ascii="Lato" w:eastAsia="Times New Roman" w:hAnsi="Lato" w:cs="Times New Roman"/>
          <w:color w:val="000000"/>
          <w:kern w:val="0"/>
          <w:sz w:val="23"/>
          <w:szCs w:val="23"/>
          <w:lang w:eastAsia="it-IT"/>
          <w14:ligatures w14:val="none"/>
        </w:rPr>
        <w:t>(in questo senso, sentenze </w:t>
      </w:r>
      <w:hyperlink r:id="rId27" w:history="1">
        <w:r w:rsidRPr="00715AFB">
          <w:rPr>
            <w:rFonts w:ascii="Lato" w:eastAsia="Times New Roman" w:hAnsi="Lato" w:cs="Times New Roman"/>
            <w:color w:val="0E10A1"/>
            <w:kern w:val="0"/>
            <w:sz w:val="23"/>
            <w:szCs w:val="23"/>
            <w:u w:val="single"/>
            <w:shd w:val="clear" w:color="auto" w:fill="FBFB68"/>
            <w:lang w:eastAsia="it-IT"/>
            <w14:ligatures w14:val="none"/>
          </w:rPr>
          <w:t>n. 40 del 2019</w:t>
        </w:r>
      </w:hyperlink>
      <w:r w:rsidRPr="00715AFB">
        <w:rPr>
          <w:rFonts w:ascii="Lato" w:eastAsia="Times New Roman" w:hAnsi="Lato" w:cs="Times New Roman"/>
          <w:color w:val="000000"/>
          <w:kern w:val="0"/>
          <w:sz w:val="23"/>
          <w:szCs w:val="23"/>
          <w:lang w:eastAsia="it-IT"/>
          <w14:ligatures w14:val="none"/>
        </w:rPr>
        <w:t>, </w:t>
      </w:r>
      <w:hyperlink r:id="rId28" w:history="1">
        <w:r w:rsidRPr="00715AFB">
          <w:rPr>
            <w:rFonts w:ascii="Lato" w:eastAsia="Times New Roman" w:hAnsi="Lato" w:cs="Times New Roman"/>
            <w:color w:val="0E10A1"/>
            <w:kern w:val="0"/>
            <w:sz w:val="23"/>
            <w:szCs w:val="23"/>
            <w:u w:val="single"/>
            <w:shd w:val="clear" w:color="auto" w:fill="FBFB68"/>
            <w:lang w:eastAsia="it-IT"/>
            <w14:ligatures w14:val="none"/>
          </w:rPr>
          <w:t>n. 233</w:t>
        </w:r>
      </w:hyperlink>
      <w:r w:rsidRPr="00715AFB">
        <w:rPr>
          <w:rFonts w:ascii="Lato" w:eastAsia="Times New Roman" w:hAnsi="Lato" w:cs="Times New Roman"/>
          <w:color w:val="000000"/>
          <w:kern w:val="0"/>
          <w:sz w:val="23"/>
          <w:szCs w:val="23"/>
          <w:lang w:eastAsia="it-IT"/>
          <w14:ligatures w14:val="none"/>
        </w:rPr>
        <w:t> e </w:t>
      </w:r>
      <w:hyperlink r:id="rId29" w:history="1">
        <w:r w:rsidRPr="00715AFB">
          <w:rPr>
            <w:rFonts w:ascii="Lato" w:eastAsia="Times New Roman" w:hAnsi="Lato" w:cs="Times New Roman"/>
            <w:color w:val="0E10A1"/>
            <w:kern w:val="0"/>
            <w:sz w:val="23"/>
            <w:szCs w:val="23"/>
            <w:u w:val="single"/>
            <w:shd w:val="clear" w:color="auto" w:fill="FBFB68"/>
            <w:lang w:eastAsia="it-IT"/>
            <w14:ligatures w14:val="none"/>
          </w:rPr>
          <w:t>222</w:t>
        </w:r>
      </w:hyperlink>
      <w:r w:rsidRPr="00715AFB">
        <w:rPr>
          <w:rFonts w:ascii="Lato" w:eastAsia="Times New Roman" w:hAnsi="Lato" w:cs="Times New Roman"/>
          <w:color w:val="000000"/>
          <w:kern w:val="0"/>
          <w:sz w:val="23"/>
          <w:szCs w:val="23"/>
          <w:lang w:eastAsia="it-IT"/>
          <w14:ligatures w14:val="none"/>
        </w:rPr>
        <w:t> del 2018 e </w:t>
      </w:r>
      <w:hyperlink r:id="rId30" w:history="1">
        <w:r w:rsidRPr="00715AFB">
          <w:rPr>
            <w:rFonts w:ascii="Lato" w:eastAsia="Times New Roman" w:hAnsi="Lato" w:cs="Times New Roman"/>
            <w:color w:val="0E10A1"/>
            <w:kern w:val="0"/>
            <w:sz w:val="23"/>
            <w:szCs w:val="23"/>
            <w:u w:val="single"/>
            <w:shd w:val="clear" w:color="auto" w:fill="FBFB68"/>
            <w:lang w:eastAsia="it-IT"/>
            <w14:ligatures w14:val="none"/>
          </w:rPr>
          <w:t>n. 236 del 2016</w:t>
        </w:r>
      </w:hyperlink>
      <w:r w:rsidRPr="00715AFB">
        <w:rPr>
          <w:rFonts w:ascii="Lato" w:eastAsia="Times New Roman" w:hAnsi="Lato" w:cs="Times New Roman"/>
          <w:color w:val="000000"/>
          <w:kern w:val="0"/>
          <w:sz w:val="23"/>
          <w:szCs w:val="23"/>
          <w:lang w:eastAsia="it-IT"/>
          <w14:ligatures w14:val="none"/>
        </w:rPr>
        <w:t>).</w:t>
      </w:r>
    </w:p>
    <w:p w14:paraId="565A34AB"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5.– Ciò posto, per quanto attiene ai contenuti della presente decisione, questa Corte ha già puntualmente individuato, nell’</w:t>
      </w:r>
      <w:hyperlink r:id="rId31"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 xml:space="preserve">, le situazioni in rapporto alle quali l’indiscriminata repressione penale dell’aiuto al suicidio, prefigurata dall’art. 580 cod. </w:t>
      </w:r>
      <w:proofErr w:type="spellStart"/>
      <w:r w:rsidRPr="00715AFB">
        <w:rPr>
          <w:rFonts w:ascii="Lato" w:eastAsia="Times New Roman" w:hAnsi="Lato" w:cs="Times New Roman"/>
          <w:color w:val="000000"/>
          <w:kern w:val="0"/>
          <w:sz w:val="23"/>
          <w:szCs w:val="23"/>
          <w:lang w:eastAsia="it-IT"/>
          <w14:ligatures w14:val="none"/>
        </w:rPr>
        <w:t>pen</w:t>
      </w:r>
      <w:proofErr w:type="spellEnd"/>
      <w:r w:rsidRPr="00715AFB">
        <w:rPr>
          <w:rFonts w:ascii="Lato" w:eastAsia="Times New Roman" w:hAnsi="Lato" w:cs="Times New Roman"/>
          <w:color w:val="000000"/>
          <w:kern w:val="0"/>
          <w:sz w:val="23"/>
          <w:szCs w:val="23"/>
          <w:lang w:eastAsia="it-IT"/>
          <w14:ligatures w14:val="none"/>
        </w:rPr>
        <w:t>., entra in frizione con i precetti costituzionali evocati. Si tratta in specie – come si è detto – dei casi nei quali venga agevolata l’esecuzione del proposito di suicidio, autonomamente e liberamente formatosi, di una persona tenuta in vita da trattamenti di sostegno vitale e affetta da una patologia irreversibile, fonte di sofferenze fisiche o psicologiche che ella trova intollerabili, ma pienamente capace di prendere decisioni libere e consapevoli.</w:t>
      </w:r>
    </w:p>
    <w:p w14:paraId="5DA35784"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FF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Quanto, poi, all’esigenza di evitare che la sottrazione pura e semplice di tale condotta alla sfera di operatività della norma incriminatrice dia luogo a intollerabili vuoti di tutela per i valori protetti, generando il pericolo di abusi «per la vita di persone in situazioni di vulnerabilità» (</w:t>
      </w:r>
      <w:hyperlink r:id="rId32"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 xml:space="preserve">), </w:t>
      </w:r>
      <w:r w:rsidRPr="00715AFB">
        <w:rPr>
          <w:rFonts w:ascii="Lato" w:eastAsia="Times New Roman" w:hAnsi="Lato" w:cs="Times New Roman"/>
          <w:color w:val="FF0000"/>
          <w:kern w:val="0"/>
          <w:sz w:val="23"/>
          <w:szCs w:val="23"/>
          <w:lang w:eastAsia="it-IT"/>
          <w14:ligatures w14:val="none"/>
        </w:rPr>
        <w:t>già più volte questa Corte, in passato, si è fatta carico dell’esigenza di scongiurare esiti similari: in particolare, subordinando la non punibilità dei fatti che venivano di volta in volta in rilievo al rispetto di specifiche cautele, volte a garantire – nelle more dell’intervento del legislatore – un controllo preventivo sull’effettiva esistenza delle condizioni che rendono lecita la condotta.</w:t>
      </w:r>
    </w:p>
    <w:p w14:paraId="5E614329"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FF0000"/>
          <w:kern w:val="0"/>
          <w:sz w:val="23"/>
          <w:szCs w:val="23"/>
          <w:lang w:eastAsia="it-IT"/>
          <w14:ligatures w14:val="none"/>
        </w:rPr>
        <w:t>Ciò è avvenuto, ad esempio, in materia di aborto</w:t>
      </w:r>
      <w:r w:rsidRPr="00715AFB">
        <w:rPr>
          <w:rFonts w:ascii="Lato" w:eastAsia="Times New Roman" w:hAnsi="Lato" w:cs="Times New Roman"/>
          <w:color w:val="000000"/>
          <w:kern w:val="0"/>
          <w:sz w:val="23"/>
          <w:szCs w:val="23"/>
          <w:lang w:eastAsia="it-IT"/>
          <w14:ligatures w14:val="none"/>
        </w:rPr>
        <w:t>, con la </w:t>
      </w:r>
      <w:hyperlink r:id="rId33" w:history="1">
        <w:r w:rsidRPr="00715AFB">
          <w:rPr>
            <w:rFonts w:ascii="Lato" w:eastAsia="Times New Roman" w:hAnsi="Lato" w:cs="Times New Roman"/>
            <w:color w:val="0E10A1"/>
            <w:kern w:val="0"/>
            <w:sz w:val="23"/>
            <w:szCs w:val="23"/>
            <w:u w:val="single"/>
            <w:shd w:val="clear" w:color="auto" w:fill="FBFB68"/>
            <w:lang w:eastAsia="it-IT"/>
            <w14:ligatures w14:val="none"/>
          </w:rPr>
          <w:t>sentenza n. 27 del 1975</w:t>
        </w:r>
      </w:hyperlink>
      <w:r w:rsidRPr="00715AFB">
        <w:rPr>
          <w:rFonts w:ascii="Lato" w:eastAsia="Times New Roman" w:hAnsi="Lato" w:cs="Times New Roman"/>
          <w:color w:val="000000"/>
          <w:kern w:val="0"/>
          <w:sz w:val="23"/>
          <w:szCs w:val="23"/>
          <w:lang w:eastAsia="it-IT"/>
          <w14:ligatures w14:val="none"/>
        </w:rPr>
        <w:t xml:space="preserve"> (la quale dichiarò illegittimo l’art. 546 cod. </w:t>
      </w:r>
      <w:proofErr w:type="spellStart"/>
      <w:r w:rsidRPr="00715AFB">
        <w:rPr>
          <w:rFonts w:ascii="Lato" w:eastAsia="Times New Roman" w:hAnsi="Lato" w:cs="Times New Roman"/>
          <w:color w:val="000000"/>
          <w:kern w:val="0"/>
          <w:sz w:val="23"/>
          <w:szCs w:val="23"/>
          <w:lang w:eastAsia="it-IT"/>
          <w14:ligatures w14:val="none"/>
        </w:rPr>
        <w:t>pen</w:t>
      </w:r>
      <w:proofErr w:type="spellEnd"/>
      <w:r w:rsidRPr="00715AFB">
        <w:rPr>
          <w:rFonts w:ascii="Lato" w:eastAsia="Times New Roman" w:hAnsi="Lato" w:cs="Times New Roman"/>
          <w:color w:val="000000"/>
          <w:kern w:val="0"/>
          <w:sz w:val="23"/>
          <w:szCs w:val="23"/>
          <w:lang w:eastAsia="it-IT"/>
          <w14:ligatures w14:val="none"/>
        </w:rPr>
        <w:t xml:space="preserve">., nella parte in cui non prevedeva che la gravidanza potesse essere interrotta quando l’ulteriore gestazione implicasse «danno, o pericolo, grave, medicalmente accertato nei sensi di cui in motivazione e non altrimenti evitabile, per la salute della madre»); ovvero, più di recente, </w:t>
      </w:r>
      <w:r w:rsidRPr="00715AFB">
        <w:rPr>
          <w:rFonts w:ascii="Lato" w:eastAsia="Times New Roman" w:hAnsi="Lato" w:cs="Times New Roman"/>
          <w:color w:val="FF0000"/>
          <w:kern w:val="0"/>
          <w:sz w:val="23"/>
          <w:szCs w:val="23"/>
          <w:lang w:eastAsia="it-IT"/>
          <w14:ligatures w14:val="none"/>
        </w:rPr>
        <w:t>in materia di procreazione medicalmente assistita</w:t>
      </w:r>
      <w:r w:rsidRPr="00715AFB">
        <w:rPr>
          <w:rFonts w:ascii="Lato" w:eastAsia="Times New Roman" w:hAnsi="Lato" w:cs="Times New Roman"/>
          <w:color w:val="000000"/>
          <w:kern w:val="0"/>
          <w:sz w:val="23"/>
          <w:szCs w:val="23"/>
          <w:lang w:eastAsia="it-IT"/>
          <w14:ligatures w14:val="none"/>
        </w:rPr>
        <w:t>, con le sentenze </w:t>
      </w:r>
      <w:hyperlink r:id="rId34" w:history="1">
        <w:r w:rsidRPr="00715AFB">
          <w:rPr>
            <w:rFonts w:ascii="Lato" w:eastAsia="Times New Roman" w:hAnsi="Lato" w:cs="Times New Roman"/>
            <w:color w:val="0E10A1"/>
            <w:kern w:val="0"/>
            <w:sz w:val="23"/>
            <w:szCs w:val="23"/>
            <w:u w:val="single"/>
            <w:shd w:val="clear" w:color="auto" w:fill="FBFB68"/>
            <w:lang w:eastAsia="it-IT"/>
            <w14:ligatures w14:val="none"/>
          </w:rPr>
          <w:t>n. 96</w:t>
        </w:r>
      </w:hyperlink>
      <w:r w:rsidRPr="00715AFB">
        <w:rPr>
          <w:rFonts w:ascii="Lato" w:eastAsia="Times New Roman" w:hAnsi="Lato" w:cs="Times New Roman"/>
          <w:color w:val="000000"/>
          <w:kern w:val="0"/>
          <w:sz w:val="23"/>
          <w:szCs w:val="23"/>
          <w:lang w:eastAsia="it-IT"/>
          <w14:ligatures w14:val="none"/>
        </w:rPr>
        <w:t> e </w:t>
      </w:r>
      <w:hyperlink r:id="rId35" w:history="1">
        <w:r w:rsidRPr="00715AFB">
          <w:rPr>
            <w:rFonts w:ascii="Lato" w:eastAsia="Times New Roman" w:hAnsi="Lato" w:cs="Times New Roman"/>
            <w:color w:val="0E10A1"/>
            <w:kern w:val="0"/>
            <w:sz w:val="23"/>
            <w:szCs w:val="23"/>
            <w:u w:val="single"/>
            <w:shd w:val="clear" w:color="auto" w:fill="FBFB68"/>
            <w:lang w:eastAsia="it-IT"/>
            <w14:ligatures w14:val="none"/>
          </w:rPr>
          <w:t>n. 229 del 2015</w:t>
        </w:r>
      </w:hyperlink>
      <w:r w:rsidRPr="00715AFB">
        <w:rPr>
          <w:rFonts w:ascii="Lato" w:eastAsia="Times New Roman" w:hAnsi="Lato" w:cs="Times New Roman"/>
          <w:color w:val="000000"/>
          <w:kern w:val="0"/>
          <w:sz w:val="23"/>
          <w:szCs w:val="23"/>
          <w:lang w:eastAsia="it-IT"/>
          <w14:ligatures w14:val="none"/>
        </w:rPr>
        <w:t> (le quali hanno dichiarato illegittime, rispettivamente, le disposizioni che negavano l’accesso alle relative tecniche alle coppie fertili portatrici di gravi malattie genetiche, trasmissibili al nascituro, «accertate da apposite strutture pubbliche», e la disposizione che puniva ogni forma di selezione eugenetica degli embrioni, senza escludere le condotte di selezione volte a evitare l’impianto nell’utero della donna di embrioni affetti da gravi malattie genetiche trasmissibili accertate nei predetti modi).</w:t>
      </w:r>
    </w:p>
    <w:p w14:paraId="545A5E6D"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Nell’odierno frangente, peraltro, </w:t>
      </w:r>
      <w:r w:rsidRPr="00715AFB">
        <w:rPr>
          <w:rFonts w:ascii="Lato" w:eastAsia="Times New Roman" w:hAnsi="Lato" w:cs="Times New Roman"/>
          <w:color w:val="FF0000"/>
          <w:kern w:val="0"/>
          <w:sz w:val="23"/>
          <w:szCs w:val="23"/>
          <w:lang w:eastAsia="it-IT"/>
          <w14:ligatures w14:val="none"/>
        </w:rPr>
        <w:t>un preciso «punto di riferimento</w:t>
      </w:r>
      <w:r w:rsidRPr="00715AFB">
        <w:rPr>
          <w:rFonts w:ascii="Lato" w:eastAsia="Times New Roman" w:hAnsi="Lato" w:cs="Times New Roman"/>
          <w:color w:val="000000"/>
          <w:kern w:val="0"/>
          <w:sz w:val="23"/>
          <w:szCs w:val="23"/>
          <w:lang w:eastAsia="it-IT"/>
          <w14:ligatures w14:val="none"/>
        </w:rPr>
        <w:t>» (</w:t>
      </w:r>
      <w:hyperlink r:id="rId36" w:history="1">
        <w:r w:rsidRPr="00715AFB">
          <w:rPr>
            <w:rFonts w:ascii="Lato" w:eastAsia="Times New Roman" w:hAnsi="Lato" w:cs="Times New Roman"/>
            <w:color w:val="0E10A1"/>
            <w:kern w:val="0"/>
            <w:sz w:val="23"/>
            <w:szCs w:val="23"/>
            <w:u w:val="single"/>
            <w:shd w:val="clear" w:color="auto" w:fill="FBFB68"/>
            <w:lang w:eastAsia="it-IT"/>
            <w14:ligatures w14:val="none"/>
          </w:rPr>
          <w:t>sentenza n. 236 del 2016</w:t>
        </w:r>
      </w:hyperlink>
      <w:r w:rsidRPr="00715AFB">
        <w:rPr>
          <w:rFonts w:ascii="Lato" w:eastAsia="Times New Roman" w:hAnsi="Lato" w:cs="Times New Roman"/>
          <w:color w:val="000000"/>
          <w:kern w:val="0"/>
          <w:sz w:val="23"/>
          <w:szCs w:val="23"/>
          <w:lang w:eastAsia="it-IT"/>
          <w14:ligatures w14:val="none"/>
        </w:rPr>
        <w:t xml:space="preserve">) già presente nel sistema – utilizzabile ai fini considerati, nelle more dell’intervento del Parlamento – è costituito dalla disciplina racchiusa </w:t>
      </w:r>
      <w:r w:rsidRPr="00715AFB">
        <w:rPr>
          <w:rFonts w:ascii="Lato" w:eastAsia="Times New Roman" w:hAnsi="Lato" w:cs="Times New Roman"/>
          <w:color w:val="FF0000"/>
          <w:kern w:val="0"/>
          <w:sz w:val="23"/>
          <w:szCs w:val="23"/>
          <w:lang w:eastAsia="it-IT"/>
          <w14:ligatures w14:val="none"/>
        </w:rPr>
        <w:t>negli artt. 1 e 2 della legge n. 219 del 2017</w:t>
      </w:r>
      <w:r w:rsidRPr="00715AFB">
        <w:rPr>
          <w:rFonts w:ascii="Lato" w:eastAsia="Times New Roman" w:hAnsi="Lato" w:cs="Times New Roman"/>
          <w:color w:val="000000"/>
          <w:kern w:val="0"/>
          <w:sz w:val="23"/>
          <w:szCs w:val="23"/>
          <w:lang w:eastAsia="it-IT"/>
          <w14:ligatures w14:val="none"/>
        </w:rPr>
        <w:t>: disciplina più volte richiamata, del resto, nella stessa </w:t>
      </w:r>
      <w:hyperlink r:id="rId37"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29E54FF8"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FF0000"/>
          <w:kern w:val="0"/>
          <w:sz w:val="23"/>
          <w:szCs w:val="23"/>
          <w:lang w:eastAsia="it-IT"/>
          <w14:ligatures w14:val="none"/>
        </w:rPr>
        <w:t xml:space="preserve">La declaratoria di incostituzionalità attiene, infatti, in modo specifico ed esclusivo all’aiuto al suicidio prestato a favore di soggetti che già potrebbero alternativamente lasciarsi morire mediante la rinuncia a trattamenti sanitari necessari </w:t>
      </w:r>
      <w:r w:rsidRPr="00715AFB">
        <w:rPr>
          <w:rFonts w:ascii="Lato" w:eastAsia="Times New Roman" w:hAnsi="Lato" w:cs="Times New Roman"/>
          <w:color w:val="000000"/>
          <w:kern w:val="0"/>
          <w:sz w:val="23"/>
          <w:szCs w:val="23"/>
          <w:lang w:eastAsia="it-IT"/>
          <w14:ligatures w14:val="none"/>
        </w:rPr>
        <w:t xml:space="preserve">alla loro sopravvivenza, ai sensi dell’art. 1, </w:t>
      </w:r>
      <w:r w:rsidRPr="00715AFB">
        <w:rPr>
          <w:rFonts w:ascii="Lato" w:eastAsia="Times New Roman" w:hAnsi="Lato" w:cs="Times New Roman"/>
          <w:color w:val="000000"/>
          <w:kern w:val="0"/>
          <w:sz w:val="23"/>
          <w:szCs w:val="23"/>
          <w:lang w:eastAsia="it-IT"/>
          <w14:ligatures w14:val="none"/>
        </w:rPr>
        <w:lastRenderedPageBreak/>
        <w:t>comma 5, della legge ora citata: disposizione che, inserendosi nel più ampio tessuto delle previsioni del medesimo articolo, prefigura una “procedura medicalizzata” estensibile alle situazioni che qui vengono in rilievo.</w:t>
      </w:r>
    </w:p>
    <w:p w14:paraId="5D39A4CC"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Il riferimento a tale procedura – con le integrazioni di cui si dirà in seguito – si presta a dare risposta a buona parte delle esigenze di disciplina poste in evidenza nell’</w:t>
      </w:r>
      <w:hyperlink r:id="rId38" w:history="1">
        <w:r w:rsidRPr="00715AFB">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715AFB">
        <w:rPr>
          <w:rFonts w:ascii="Lato" w:eastAsia="Times New Roman" w:hAnsi="Lato" w:cs="Times New Roman"/>
          <w:color w:val="000000"/>
          <w:kern w:val="0"/>
          <w:sz w:val="23"/>
          <w:szCs w:val="23"/>
          <w:lang w:eastAsia="it-IT"/>
          <w14:ligatures w14:val="none"/>
        </w:rPr>
        <w:t>.</w:t>
      </w:r>
    </w:p>
    <w:p w14:paraId="07741FCC"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Ciò vale, anzitutto, con riguardo alle «modalità di verifica medica della sussistenza dei presupposti in presenza dei quali una persona possa richiedere l’aiuto». Mediante la procedura in questione è, infatti, già possibile accertare la capacità di autodeterminazione del paziente e il carattere libero e informato della scelta espressa. L’art. 1, comma 5, della legge n. 219 del 2017 riconosce, infatti, il diritto all’interruzione dei trattamenti di sostegno vitale in corso alla persona «capace di agire» e stabilisce che la relativa richiesta debba essere espressa nelle forme previste dal precedente comma 4 per il consenso informato. La manifestazione di volontà deve essere, dunque, acquisita «nei modi e con gli strumenti più consoni alle condizioni del paziente» e documentata «in forma scritta o attraverso videoregistrazioni o, per la persona con disabilità, attraverso dispositivi che le consentano di comunicare», per poi essere inserita nella cartella clinica. Ciò, «[f]erma restando la possibilità per il paziente di modificare la propria volontà»: il che, peraltro, nel caso dell’aiuto al suicidio, è insito nel fatto stesso che l’interessato conserva, per definizione, il dominio sull’atto finale che innesca il processo letale.</w:t>
      </w:r>
    </w:p>
    <w:p w14:paraId="0CF487FD"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Lo stesso art. 1, comma 5, prevede, altresì, che il medico debba prospettare al paziente «le conseguenze di tale decisione e le possibili alternative», promovendo «ogni azione di sostegno al paziente medesimo, anche avvalendosi dei servizi di assistenza psicologica». In questo contesto, deve evidentemente darsi conto anche del carattere irreversibile della patologia: elemento indicato nella cartella clinica e comunicato dal medico quando avvisa il paziente circa le conseguenze legate all’interruzione del trattamento vitale e sulle «possibili alternative». Lo stesso deve dirsi per le sofferenze fisiche o psicologiche: il promovimento delle azioni di sostegno al paziente, comprensive soprattutto delle terapie del dolore, presuppone una conoscenza accurata delle condizioni di sofferenza.</w:t>
      </w:r>
    </w:p>
    <w:p w14:paraId="1C11B533"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Il riferimento a tale disciplina implica, d’altro canto, l’inerenza anche della materia considerata alla relazione tra medico e paziente.</w:t>
      </w:r>
    </w:p>
    <w:p w14:paraId="6E613985"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Quanto all’esigenza di coinvolgimento dell’interessato in un percorso di cure palliative, l’art. 2 della legge n. 219 del 2017 prevede che debba essere sempre garantita al paziente un’appropriata terapia del dolore e l’erogazione delle cure palliative previste dalla legge n. 38 del 2010 (e da questa incluse, come già ricordato, nell’ambito dei livelli essenziali di assistenza). Tale disposizione risulta estensibile anch’essa all’ipotesi che qui interessa: l’accesso alle cure palliative, ove idonee a eliminare la sofferenza, spesso si presta, infatti, a rimuovere le cause della volontà del paziente di congedarsi dalla vita.</w:t>
      </w:r>
    </w:p>
    <w:p w14:paraId="22E894E9"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Similmente a quanto già stabilito da questa Corte con le citate sentenze </w:t>
      </w:r>
      <w:hyperlink r:id="rId39" w:history="1">
        <w:r w:rsidRPr="00715AFB">
          <w:rPr>
            <w:rFonts w:ascii="Lato" w:eastAsia="Times New Roman" w:hAnsi="Lato" w:cs="Times New Roman"/>
            <w:color w:val="0E10A1"/>
            <w:kern w:val="0"/>
            <w:sz w:val="23"/>
            <w:szCs w:val="23"/>
            <w:u w:val="single"/>
            <w:shd w:val="clear" w:color="auto" w:fill="FBFB68"/>
            <w:lang w:eastAsia="it-IT"/>
            <w14:ligatures w14:val="none"/>
          </w:rPr>
          <w:t>n. 229</w:t>
        </w:r>
      </w:hyperlink>
      <w:r w:rsidRPr="00715AFB">
        <w:rPr>
          <w:rFonts w:ascii="Lato" w:eastAsia="Times New Roman" w:hAnsi="Lato" w:cs="Times New Roman"/>
          <w:color w:val="000000"/>
          <w:kern w:val="0"/>
          <w:sz w:val="23"/>
          <w:szCs w:val="23"/>
          <w:lang w:eastAsia="it-IT"/>
          <w14:ligatures w14:val="none"/>
        </w:rPr>
        <w:t> e </w:t>
      </w:r>
      <w:hyperlink r:id="rId40" w:history="1">
        <w:r w:rsidRPr="00715AFB">
          <w:rPr>
            <w:rFonts w:ascii="Lato" w:eastAsia="Times New Roman" w:hAnsi="Lato" w:cs="Times New Roman"/>
            <w:color w:val="0E10A1"/>
            <w:kern w:val="0"/>
            <w:sz w:val="23"/>
            <w:szCs w:val="23"/>
            <w:u w:val="single"/>
            <w:shd w:val="clear" w:color="auto" w:fill="FBFB68"/>
            <w:lang w:eastAsia="it-IT"/>
            <w14:ligatures w14:val="none"/>
          </w:rPr>
          <w:t>n. 96</w:t>
        </w:r>
      </w:hyperlink>
      <w:r w:rsidRPr="00715AFB">
        <w:rPr>
          <w:rFonts w:ascii="Lato" w:eastAsia="Times New Roman" w:hAnsi="Lato" w:cs="Times New Roman"/>
          <w:color w:val="000000"/>
          <w:kern w:val="0"/>
          <w:sz w:val="23"/>
          <w:szCs w:val="23"/>
          <w:lang w:eastAsia="it-IT"/>
          <w14:ligatures w14:val="none"/>
        </w:rPr>
        <w:t xml:space="preserve"> del 2015, la verifica delle condizioni che rendono legittimo l’aiuto al suicidio deve restare peraltro </w:t>
      </w:r>
      <w:r w:rsidRPr="00715AFB">
        <w:rPr>
          <w:rFonts w:ascii="Lato" w:eastAsia="Times New Roman" w:hAnsi="Lato" w:cs="Times New Roman"/>
          <w:color w:val="000000"/>
          <w:kern w:val="0"/>
          <w:sz w:val="23"/>
          <w:szCs w:val="23"/>
          <w:lang w:eastAsia="it-IT"/>
          <w14:ligatures w14:val="none"/>
        </w:rPr>
        <w:lastRenderedPageBreak/>
        <w:t>affidata – in attesa della declinazione che potrà darne il legislatore – a strutture pubbliche del servizio sanitario nazionale. A queste ultime spetterà altresì verificare le relative modalità di esecuzione, le quali dovranno essere evidentemente tali da evitare abusi in danno di persone vulnerabili, da garantire la dignità del paziente e da evitare al medesimo sofferenze.</w:t>
      </w:r>
    </w:p>
    <w:p w14:paraId="4FA57035"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La delicatezza del valore in gioco richiede, inoltre, l’intervento di un organo collegiale terzo, munito delle adeguate competenze, il quale possa garantire la tutela delle situazioni di particolare vulnerabilità. Nelle more dell’intervento del legislatore, tale compito è affidato ai comitati etici territorialmente competenti. Tali comitati – quali organismi di consultazione e di riferimento per i problemi di natura etica che possano presentarsi nella pratica sanitaria – sono, infatti, investiti di funzioni consultive intese a garantire la tutela dei diritti e dei valori della persona in confronto alle sperimentazioni cliniche di medicinali o, </w:t>
      </w:r>
      <w:proofErr w:type="spellStart"/>
      <w:r w:rsidRPr="00715AFB">
        <w:rPr>
          <w:rFonts w:ascii="Lato" w:eastAsia="Times New Roman" w:hAnsi="Lato" w:cs="Times New Roman"/>
          <w:color w:val="000000"/>
          <w:kern w:val="0"/>
          <w:sz w:val="23"/>
          <w:szCs w:val="23"/>
          <w:lang w:eastAsia="it-IT"/>
          <w14:ligatures w14:val="none"/>
        </w:rPr>
        <w:t>amplius</w:t>
      </w:r>
      <w:proofErr w:type="spellEnd"/>
      <w:r w:rsidRPr="00715AFB">
        <w:rPr>
          <w:rFonts w:ascii="Lato" w:eastAsia="Times New Roman" w:hAnsi="Lato" w:cs="Times New Roman"/>
          <w:color w:val="000000"/>
          <w:kern w:val="0"/>
          <w:sz w:val="23"/>
          <w:szCs w:val="23"/>
          <w:lang w:eastAsia="it-IT"/>
          <w14:ligatures w14:val="none"/>
        </w:rPr>
        <w:t xml:space="preserve">, all’uso di questi ultimi e dei dispositivi medici (art. 12, comma 10, lettera c, del </w:t>
      </w:r>
      <w:proofErr w:type="spellStart"/>
      <w:r w:rsidRPr="00715AFB">
        <w:rPr>
          <w:rFonts w:ascii="Lato" w:eastAsia="Times New Roman" w:hAnsi="Lato" w:cs="Times New Roman"/>
          <w:color w:val="000000"/>
          <w:kern w:val="0"/>
          <w:sz w:val="23"/>
          <w:szCs w:val="23"/>
          <w:lang w:eastAsia="it-IT"/>
          <w14:ligatures w14:val="none"/>
        </w:rPr>
        <w:t>d.l.</w:t>
      </w:r>
      <w:proofErr w:type="spellEnd"/>
      <w:r w:rsidRPr="00715AFB">
        <w:rPr>
          <w:rFonts w:ascii="Lato" w:eastAsia="Times New Roman" w:hAnsi="Lato" w:cs="Times New Roman"/>
          <w:color w:val="000000"/>
          <w:kern w:val="0"/>
          <w:sz w:val="23"/>
          <w:szCs w:val="23"/>
          <w:lang w:eastAsia="it-IT"/>
          <w14:ligatures w14:val="none"/>
        </w:rPr>
        <w:t xml:space="preserve"> n. 158 del 2012; art. 1 del decreto del Ministro della salute 8 febbraio 2013, recante «Criteri per la composizione e il funzionamento dei comitati etici»): funzioni che involgono specificamente la salvaguardia di soggetti vulnerabili e che si estendono anche al cosiddetto uso compassionevole di medicinali nei confronti di pazienti affetti da patologie per le quali non siano disponibili valide alternative terapeutiche (artt. 1 e 4 del decreto del Ministro della salute 7 settembre 2017, recante «Disciplina dell’uso terapeutico di medicinale sottoposto a sperimentazione clinica»).</w:t>
      </w:r>
    </w:p>
    <w:p w14:paraId="18CE789F"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6.– Quanto, infine, al tema dell’obiezione di coscienza del personale sanitario, vale osservare che la presente declaratoria di illegittimità costituzionale si limita a escludere la punibilità dell’aiuto al suicidio nei casi considerati, senza creare alcun obbligo di procedere a tale aiuto in capo ai medici. Resta affidato, pertanto, alla coscienza del singolo medico scegliere se prestarsi, o no, a esaudire la richiesta del malato.</w:t>
      </w:r>
    </w:p>
    <w:p w14:paraId="43F63DA9"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FF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7.– </w:t>
      </w:r>
      <w:r w:rsidRPr="00715AFB">
        <w:rPr>
          <w:rFonts w:ascii="Lato" w:eastAsia="Times New Roman" w:hAnsi="Lato" w:cs="Times New Roman"/>
          <w:color w:val="FF0000"/>
          <w:kern w:val="0"/>
          <w:sz w:val="23"/>
          <w:szCs w:val="23"/>
          <w:lang w:eastAsia="it-IT"/>
          <w14:ligatures w14:val="none"/>
        </w:rPr>
        <w:t xml:space="preserve">I requisiti procedimentali </w:t>
      </w:r>
      <w:proofErr w:type="gramStart"/>
      <w:r w:rsidRPr="00715AFB">
        <w:rPr>
          <w:rFonts w:ascii="Lato" w:eastAsia="Times New Roman" w:hAnsi="Lato" w:cs="Times New Roman"/>
          <w:color w:val="FF0000"/>
          <w:kern w:val="0"/>
          <w:sz w:val="23"/>
          <w:szCs w:val="23"/>
          <w:lang w:eastAsia="it-IT"/>
          <w14:ligatures w14:val="none"/>
        </w:rPr>
        <w:t>dianzi</w:t>
      </w:r>
      <w:proofErr w:type="gramEnd"/>
      <w:r w:rsidRPr="00715AFB">
        <w:rPr>
          <w:rFonts w:ascii="Lato" w:eastAsia="Times New Roman" w:hAnsi="Lato" w:cs="Times New Roman"/>
          <w:color w:val="FF0000"/>
          <w:kern w:val="0"/>
          <w:sz w:val="23"/>
          <w:szCs w:val="23"/>
          <w:lang w:eastAsia="it-IT"/>
          <w14:ligatures w14:val="none"/>
        </w:rPr>
        <w:t xml:space="preserve"> indicati, quali condizioni per la non punibilità dell’aiuto al suicidio prestato a favore di persone che versino nelle situazioni indicate analiticamente nel precedente punto 2.3., valgono per i fatti successivi alla pubblicazione della presente sentenza nella Gazzetta Ufficiale della Repubblica.</w:t>
      </w:r>
    </w:p>
    <w:p w14:paraId="58A84453"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FF0000"/>
          <w:kern w:val="0"/>
          <w:sz w:val="23"/>
          <w:szCs w:val="23"/>
          <w:lang w:eastAsia="it-IT"/>
          <w14:ligatures w14:val="none"/>
        </w:rPr>
        <w:t>In quanto enucleate da questa Corte solo con la presente sentenza, in attesa dell’intervento del legislatore, le condizioni procedimentali in questione non possono essere richieste, tal quali, in rapporto ai fatti anteriormente commessi, come quello oggetto del giudizio a quo, che precede la stessa entrata in vigore della legge n. 219 del 2017. Rispetto alle vicende pregresse, infatti, le condizioni in parola non risulterebbero, in pratica, mai puntualmente soddisfatte</w:t>
      </w:r>
      <w:r w:rsidRPr="00715AFB">
        <w:rPr>
          <w:rFonts w:ascii="Lato" w:eastAsia="Times New Roman" w:hAnsi="Lato" w:cs="Times New Roman"/>
          <w:color w:val="000000"/>
          <w:kern w:val="0"/>
          <w:sz w:val="23"/>
          <w:szCs w:val="23"/>
          <w:lang w:eastAsia="it-IT"/>
          <w14:ligatures w14:val="none"/>
        </w:rPr>
        <w:t>.</w:t>
      </w:r>
    </w:p>
    <w:p w14:paraId="4A520C61"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Ciò impone una diversa scansione del contenuto della pronuncia sul piano temporale.</w:t>
      </w:r>
    </w:p>
    <w:p w14:paraId="48B1B21D"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Riguardo ai fatti anteriori la non punibilità dell’aiuto al suicidio rimarrà subordinata, in specie, al fatto che l’agevolazione </w:t>
      </w:r>
      <w:proofErr w:type="gramStart"/>
      <w:r w:rsidRPr="00715AFB">
        <w:rPr>
          <w:rFonts w:ascii="Lato" w:eastAsia="Times New Roman" w:hAnsi="Lato" w:cs="Times New Roman"/>
          <w:color w:val="000000"/>
          <w:kern w:val="0"/>
          <w:sz w:val="23"/>
          <w:szCs w:val="23"/>
          <w:lang w:eastAsia="it-IT"/>
          <w14:ligatures w14:val="none"/>
        </w:rPr>
        <w:t>sia</w:t>
      </w:r>
      <w:proofErr w:type="gramEnd"/>
      <w:r w:rsidRPr="00715AFB">
        <w:rPr>
          <w:rFonts w:ascii="Lato" w:eastAsia="Times New Roman" w:hAnsi="Lato" w:cs="Times New Roman"/>
          <w:color w:val="000000"/>
          <w:kern w:val="0"/>
          <w:sz w:val="23"/>
          <w:szCs w:val="23"/>
          <w:lang w:eastAsia="it-IT"/>
          <w14:ligatures w14:val="none"/>
        </w:rPr>
        <w:t xml:space="preserve"> stata prestata con modalità anche diverse da quelle indicate, ma idonee comunque sia a offrire </w:t>
      </w:r>
      <w:r w:rsidRPr="00715AFB">
        <w:rPr>
          <w:rFonts w:ascii="Lato" w:eastAsia="Times New Roman" w:hAnsi="Lato" w:cs="Times New Roman"/>
          <w:color w:val="FF0000"/>
          <w:kern w:val="0"/>
          <w:sz w:val="23"/>
          <w:szCs w:val="23"/>
          <w:lang w:eastAsia="it-IT"/>
          <w14:ligatures w14:val="none"/>
        </w:rPr>
        <w:t>garanzie sostanzialmente equivalenti</w:t>
      </w:r>
      <w:r w:rsidRPr="00715AFB">
        <w:rPr>
          <w:rFonts w:ascii="Lato" w:eastAsia="Times New Roman" w:hAnsi="Lato" w:cs="Times New Roman"/>
          <w:color w:val="000000"/>
          <w:kern w:val="0"/>
          <w:sz w:val="23"/>
          <w:szCs w:val="23"/>
          <w:lang w:eastAsia="it-IT"/>
          <w14:ligatures w14:val="none"/>
        </w:rPr>
        <w:t>.</w:t>
      </w:r>
    </w:p>
    <w:p w14:paraId="640AEA4F"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Occorrerà dunque che le condizioni del richiedente che valgono a rendere lecita la prestazione dell’aiuto – patologia irreversibile, grave sofferenza fisica o psicologica, dipendenza da trattamenti di sostegno vitale e capacità di prendere decisioni libere e consapevoli – abbiano </w:t>
      </w:r>
      <w:r w:rsidRPr="00715AFB">
        <w:rPr>
          <w:rFonts w:ascii="Lato" w:eastAsia="Times New Roman" w:hAnsi="Lato" w:cs="Times New Roman"/>
          <w:color w:val="000000"/>
          <w:kern w:val="0"/>
          <w:sz w:val="23"/>
          <w:szCs w:val="23"/>
          <w:lang w:eastAsia="it-IT"/>
          <w14:ligatures w14:val="none"/>
        </w:rPr>
        <w:lastRenderedPageBreak/>
        <w:t>formato oggetto di verifica in ambito medico; che la volontà dell’interessato sia stata manifestata in modo chiaro e univoco, compatibilmente con quanto è consentito dalle sue condizioni; che il paziente sia stato adeguatamente informato sia in ordine a queste ultime, sia in ordine alle possibili soluzioni alternative, segnatamente con riguardo all’accesso alle cure palliative ed, eventualmente, alla sedazione profonda continua. Requisiti tutti la cui sussistenza dovrà essere verificata dal giudice nel caso concreto.</w:t>
      </w:r>
    </w:p>
    <w:p w14:paraId="11CBC87F"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8.– L’art. 580 cod. </w:t>
      </w:r>
      <w:proofErr w:type="spellStart"/>
      <w:r w:rsidRPr="00715AFB">
        <w:rPr>
          <w:rFonts w:ascii="Lato" w:eastAsia="Times New Roman" w:hAnsi="Lato" w:cs="Times New Roman"/>
          <w:color w:val="000000"/>
          <w:kern w:val="0"/>
          <w:sz w:val="23"/>
          <w:szCs w:val="23"/>
          <w:lang w:eastAsia="it-IT"/>
          <w14:ligatures w14:val="none"/>
        </w:rPr>
        <w:t>pen</w:t>
      </w:r>
      <w:proofErr w:type="spellEnd"/>
      <w:r w:rsidRPr="00715AFB">
        <w:rPr>
          <w:rFonts w:ascii="Lato" w:eastAsia="Times New Roman" w:hAnsi="Lato" w:cs="Times New Roman"/>
          <w:color w:val="000000"/>
          <w:kern w:val="0"/>
          <w:sz w:val="23"/>
          <w:szCs w:val="23"/>
          <w:lang w:eastAsia="it-IT"/>
          <w14:ligatures w14:val="none"/>
        </w:rPr>
        <w:t>. deve essere dichiarato, dunque, costituzionalmente illegittimo, per violazione degli artt. 2, 13 e 32, secondo comma, Cost., nella parte in cui non esclude la punibilità di chi, con le modalità previste dagli artt. 1 e 2 della legge n. 219 del 2017 – ovvero, quanto ai fatti anteriori alla pubblicazione della presente sentenza nella Gazzetta Ufficiale della Repubblica, con modalità equivalenti nei sensi dianzi indicati –, agevola l’esecuzione del proposito di suicidio, autonomamente e liberamente formatosi, di una persona tenuta in vita da trattamenti di sostegno vitale e affetta da una patologia irreversibile, fonte di sofferenze fisiche o psicologiche che ella reputa intollerabili, ma pienamente capace di prendere decisioni libere e consapevoli, sempre che tali condizioni e le modalità di esecuzione siano state verificate da una struttura pubblica del servizio sanitario nazionale, previo parere del comitato etico territorialmente competente.</w:t>
      </w:r>
    </w:p>
    <w:p w14:paraId="51D763E9"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L’ulteriore questione sollevata in via principale per violazione dell’art. 117, primo comma, Cost., in riferimento agli artt. 2 e 8 CEDU, resta assorbita.</w:t>
      </w:r>
    </w:p>
    <w:p w14:paraId="4F20CF30"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Parimente assorbite restano le questioni subordinate, attinenti alla misura della pena.</w:t>
      </w:r>
    </w:p>
    <w:p w14:paraId="38B953B5"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9.– Questa Corte non può fare a meno, peraltro, di ribadire con vigore l’auspicio che la materia formi oggetto di sollecita e compiuta disciplina da parte del legislatore, conformemente ai principi precedentemente enunciati.</w:t>
      </w:r>
    </w:p>
    <w:p w14:paraId="38CD167A" w14:textId="77777777" w:rsidR="00715AFB" w:rsidRPr="00715AFB" w:rsidRDefault="00715AFB" w:rsidP="00715AFB">
      <w:pPr>
        <w:shd w:val="clear" w:color="auto" w:fill="FFFFFF"/>
        <w:spacing w:after="150" w:line="338" w:lineRule="atLeast"/>
        <w:ind w:firstLine="284"/>
        <w:jc w:val="center"/>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Per Questi Motivi</w:t>
      </w:r>
    </w:p>
    <w:p w14:paraId="2EE42A5A" w14:textId="77777777" w:rsidR="00715AFB" w:rsidRPr="00715AFB" w:rsidRDefault="00715AFB" w:rsidP="00715AFB">
      <w:pPr>
        <w:shd w:val="clear" w:color="auto" w:fill="FFFFFF"/>
        <w:spacing w:after="150" w:line="338" w:lineRule="atLeast"/>
        <w:ind w:firstLine="284"/>
        <w:jc w:val="center"/>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LA CORTE COSTITUZIONALE</w:t>
      </w:r>
    </w:p>
    <w:p w14:paraId="023984FB"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 xml:space="preserve">dichiara </w:t>
      </w:r>
      <w:r w:rsidRPr="00715AFB">
        <w:rPr>
          <w:rFonts w:ascii="Lato" w:eastAsia="Times New Roman" w:hAnsi="Lato" w:cs="Times New Roman"/>
          <w:color w:val="FF0000"/>
          <w:kern w:val="0"/>
          <w:sz w:val="23"/>
          <w:szCs w:val="23"/>
          <w:lang w:eastAsia="it-IT"/>
          <w14:ligatures w14:val="none"/>
        </w:rPr>
        <w:t>l’illegittimità costituzionale dell’art. 580 del codice penale, nella parte in cui non esclude la punibilità di chi, con le modalità previste dagli artt. 1 e 2 della legge 22 dicembre 2017, n. 219</w:t>
      </w:r>
      <w:r w:rsidRPr="00715AFB">
        <w:rPr>
          <w:rFonts w:ascii="Lato" w:eastAsia="Times New Roman" w:hAnsi="Lato" w:cs="Times New Roman"/>
          <w:color w:val="000000"/>
          <w:kern w:val="0"/>
          <w:sz w:val="23"/>
          <w:szCs w:val="23"/>
          <w:lang w:eastAsia="it-IT"/>
          <w14:ligatures w14:val="none"/>
        </w:rPr>
        <w:t xml:space="preserve"> (Norme in materia di consenso informato e di disposizioni anticipate di trattamento) – </w:t>
      </w:r>
      <w:r w:rsidRPr="00715AFB">
        <w:rPr>
          <w:rFonts w:ascii="Lato" w:eastAsia="Times New Roman" w:hAnsi="Lato" w:cs="Times New Roman"/>
          <w:color w:val="FF0000"/>
          <w:kern w:val="0"/>
          <w:sz w:val="23"/>
          <w:szCs w:val="23"/>
          <w:lang w:eastAsia="it-IT"/>
          <w14:ligatures w14:val="none"/>
        </w:rPr>
        <w:t>ovvero, quanto ai fatti anteriori alla pubblicazione della presente sentenza nella Gazzetta Ufficiale della Repubblica, con modalità equivalenti nei sensi di cui in motivazione –, agevola l’esecuzione del proposito di suicidio, autonomamente e liberamente formatosi, di una persona tenuta in vita da trattamenti di sostegno vitale e affetta da una patologia irreversibile, fonte di sofferenze fisiche o psicologiche che ella reputa intollerabili, ma pienamente capace di prendere decisioni libere e consapevoli, sempre che tali condizioni e le modalità di esecuzione siano state verificate da una struttura pubblica del servizio sanitario nazionale, previo parere del comitato etico territorialmente competente.</w:t>
      </w:r>
    </w:p>
    <w:p w14:paraId="73AF5331"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Così deciso in Roma, nella sede della Corte costituzionale, Palazzo della Consulta, il 25 settembre 2019.</w:t>
      </w:r>
    </w:p>
    <w:p w14:paraId="28177FFB"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F.to:</w:t>
      </w:r>
    </w:p>
    <w:p w14:paraId="28959049"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lastRenderedPageBreak/>
        <w:t>Giorgio LATTANZI, Presidente</w:t>
      </w:r>
    </w:p>
    <w:p w14:paraId="0CCCFAAB"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Franco MODUGNO, Redattore</w:t>
      </w:r>
    </w:p>
    <w:p w14:paraId="2EB923CD" w14:textId="77777777" w:rsidR="00715AFB" w:rsidRPr="00715AFB" w:rsidRDefault="00715AFB" w:rsidP="00715AFB">
      <w:pPr>
        <w:shd w:val="clear" w:color="auto" w:fill="FFFFFF"/>
        <w:spacing w:after="150" w:line="338" w:lineRule="atLeast"/>
        <w:ind w:firstLine="284"/>
        <w:jc w:val="both"/>
        <w:textAlignment w:val="baseline"/>
        <w:rPr>
          <w:rFonts w:ascii="Lato" w:eastAsia="Times New Roman" w:hAnsi="Lato" w:cs="Times New Roman"/>
          <w:color w:val="000000"/>
          <w:kern w:val="0"/>
          <w:sz w:val="23"/>
          <w:szCs w:val="23"/>
          <w:lang w:eastAsia="it-IT"/>
          <w14:ligatures w14:val="none"/>
        </w:rPr>
      </w:pPr>
      <w:r w:rsidRPr="00715AFB">
        <w:rPr>
          <w:rFonts w:ascii="Lato" w:eastAsia="Times New Roman" w:hAnsi="Lato" w:cs="Times New Roman"/>
          <w:color w:val="000000"/>
          <w:kern w:val="0"/>
          <w:sz w:val="23"/>
          <w:szCs w:val="23"/>
          <w:lang w:eastAsia="it-IT"/>
          <w14:ligatures w14:val="none"/>
        </w:rPr>
        <w:t>Roberto MILANA, Cancelliere</w:t>
      </w:r>
    </w:p>
    <w:p w14:paraId="0F9F335C" w14:textId="77777777" w:rsidR="00715AFB" w:rsidRPr="00715AFB" w:rsidRDefault="00715AFB" w:rsidP="00715AFB">
      <w:pPr>
        <w:rPr>
          <w:rFonts w:ascii="Times New Roman" w:eastAsia="Times New Roman" w:hAnsi="Times New Roman" w:cs="Times New Roman"/>
          <w:kern w:val="0"/>
          <w:lang w:eastAsia="it-IT"/>
          <w14:ligatures w14:val="none"/>
        </w:rPr>
      </w:pPr>
    </w:p>
    <w:p w14:paraId="29A16B59"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FB"/>
    <w:rsid w:val="00364068"/>
    <w:rsid w:val="004671F7"/>
    <w:rsid w:val="00715AFB"/>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59E51BD"/>
  <w15:chartTrackingRefBased/>
  <w15:docId w15:val="{79ECCC4E-C5CE-9745-930D-2CED7A45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715AFB"/>
    <w:rPr>
      <w:i/>
      <w:iCs/>
    </w:rPr>
  </w:style>
  <w:style w:type="character" w:styleId="Collegamentoipertestuale">
    <w:name w:val="Hyperlink"/>
    <w:basedOn w:val="Carpredefinitoparagrafo"/>
    <w:uiPriority w:val="99"/>
    <w:semiHidden/>
    <w:unhideWhenUsed/>
    <w:rsid w:val="00715AFB"/>
    <w:rPr>
      <w:color w:val="0000FF"/>
      <w:u w:val="single"/>
    </w:rPr>
  </w:style>
  <w:style w:type="character" w:customStyle="1" w:styleId="apple-converted-space">
    <w:name w:val="apple-converted-space"/>
    <w:basedOn w:val="Carpredefinitoparagrafo"/>
    <w:rsid w:val="0071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0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urcost.org/decisioni/2008/0438s-08.html" TargetMode="External"/><Relationship Id="rId18" Type="http://schemas.openxmlformats.org/officeDocument/2006/relationships/hyperlink" Target="https://giurcost.org/decisioni/2018/0207o-18.html" TargetMode="External"/><Relationship Id="rId26" Type="http://schemas.openxmlformats.org/officeDocument/2006/relationships/hyperlink" Target="https://giurcost.org/decisioni/1958/0059s-58.html" TargetMode="External"/><Relationship Id="rId39" Type="http://schemas.openxmlformats.org/officeDocument/2006/relationships/hyperlink" Target="https://giurcost.org/decisioni/2015/0229s-15.html" TargetMode="External"/><Relationship Id="rId21" Type="http://schemas.openxmlformats.org/officeDocument/2006/relationships/hyperlink" Target="https://giurcost.org/decisioni/2018/0207o-18.html" TargetMode="External"/><Relationship Id="rId34" Type="http://schemas.openxmlformats.org/officeDocument/2006/relationships/hyperlink" Target="https://giurcost.org/decisioni/2015/0096s-15.html" TargetMode="External"/><Relationship Id="rId42" Type="http://schemas.openxmlformats.org/officeDocument/2006/relationships/theme" Target="theme/theme1.xml"/><Relationship Id="rId7" Type="http://schemas.openxmlformats.org/officeDocument/2006/relationships/hyperlink" Target="http://hudoc.echr.coe.int/eng?i=001-60448" TargetMode="External"/><Relationship Id="rId2" Type="http://schemas.openxmlformats.org/officeDocument/2006/relationships/settings" Target="settings.xml"/><Relationship Id="rId16" Type="http://schemas.openxmlformats.org/officeDocument/2006/relationships/hyperlink" Target="https://giurcost.org/decisioni/2018/0207o-18.html" TargetMode="External"/><Relationship Id="rId20" Type="http://schemas.openxmlformats.org/officeDocument/2006/relationships/hyperlink" Target="https://giurcost.org/decisioni/2018/0207o-18.html" TargetMode="External"/><Relationship Id="rId29" Type="http://schemas.openxmlformats.org/officeDocument/2006/relationships/hyperlink" Target="https://giurcost.org/decisioni/2018/0222s-18.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iurcost.org/decisioni/1997/0035s-97.htm" TargetMode="External"/><Relationship Id="rId11" Type="http://schemas.openxmlformats.org/officeDocument/2006/relationships/hyperlink" Target="https://giurcost.org/decisioni/2018/0207o-18.html" TargetMode="External"/><Relationship Id="rId24" Type="http://schemas.openxmlformats.org/officeDocument/2006/relationships/hyperlink" Target="https://giurcost.org/decisioni/2015/0096s-15.html" TargetMode="External"/><Relationship Id="rId32" Type="http://schemas.openxmlformats.org/officeDocument/2006/relationships/hyperlink" Target="https://giurcost.org/decisioni/2018/0207o-18.html" TargetMode="External"/><Relationship Id="rId37" Type="http://schemas.openxmlformats.org/officeDocument/2006/relationships/hyperlink" Target="https://giurcost.org/decisioni/2018/0207o-18.html" TargetMode="External"/><Relationship Id="rId40" Type="http://schemas.openxmlformats.org/officeDocument/2006/relationships/hyperlink" Target="https://giurcost.org/decisioni/2015/0096s-15.html" TargetMode="External"/><Relationship Id="rId5" Type="http://schemas.openxmlformats.org/officeDocument/2006/relationships/hyperlink" Target="https://giurcost.org/decisioni/1996/0223s-96.htm" TargetMode="External"/><Relationship Id="rId15" Type="http://schemas.openxmlformats.org/officeDocument/2006/relationships/hyperlink" Target="https://giurcost.org/decisioni/2018/0207o-18.html" TargetMode="External"/><Relationship Id="rId23" Type="http://schemas.openxmlformats.org/officeDocument/2006/relationships/hyperlink" Target="https://giurcost.org/decisioni/2011/0113s-11.html" TargetMode="External"/><Relationship Id="rId28" Type="http://schemas.openxmlformats.org/officeDocument/2006/relationships/hyperlink" Target="https://giurcost.org/decisioni/2018/0233s-18.html" TargetMode="External"/><Relationship Id="rId36" Type="http://schemas.openxmlformats.org/officeDocument/2006/relationships/hyperlink" Target="https://giurcost.org/decisioni/2013/0236s-13.html" TargetMode="External"/><Relationship Id="rId10" Type="http://schemas.openxmlformats.org/officeDocument/2006/relationships/hyperlink" Target="https://giurcost.org/decisioni/2018/0207o-18.html" TargetMode="External"/><Relationship Id="rId19" Type="http://schemas.openxmlformats.org/officeDocument/2006/relationships/hyperlink" Target="https://giurcost.org/decisioni/2018/0207o-18.html" TargetMode="External"/><Relationship Id="rId31" Type="http://schemas.openxmlformats.org/officeDocument/2006/relationships/hyperlink" Target="https://giurcost.org/decisioni/2018/0207o-18.html" TargetMode="External"/><Relationship Id="rId4" Type="http://schemas.openxmlformats.org/officeDocument/2006/relationships/hyperlink" Target="https://giurcost.org/decisioni/2018/0207o-18.html" TargetMode="External"/><Relationship Id="rId9" Type="http://schemas.openxmlformats.org/officeDocument/2006/relationships/hyperlink" Target="https://giurcost.org/decisioni/2018/0207o-18.html" TargetMode="External"/><Relationship Id="rId14" Type="http://schemas.openxmlformats.org/officeDocument/2006/relationships/hyperlink" Target="https://giurcost.org/decisioni/2018/0207o-18.html" TargetMode="External"/><Relationship Id="rId22" Type="http://schemas.openxmlformats.org/officeDocument/2006/relationships/hyperlink" Target="https://giurcost.org/decisioni/2014/0162s-14.html" TargetMode="External"/><Relationship Id="rId27" Type="http://schemas.openxmlformats.org/officeDocument/2006/relationships/hyperlink" Target="https://giurcost.org/decisioni/2019/0040s-19.html" TargetMode="External"/><Relationship Id="rId30" Type="http://schemas.openxmlformats.org/officeDocument/2006/relationships/hyperlink" Target="https://giurcost.org/decisioni/2016/0236s-16.html" TargetMode="External"/><Relationship Id="rId35" Type="http://schemas.openxmlformats.org/officeDocument/2006/relationships/hyperlink" Target="https://giurcost.org/decisioni/2015/0229s-15.html" TargetMode="External"/><Relationship Id="rId8" Type="http://schemas.openxmlformats.org/officeDocument/2006/relationships/hyperlink" Target="https://giurcost.org/decisioni/2018/0207o-18.html" TargetMode="External"/><Relationship Id="rId3" Type="http://schemas.openxmlformats.org/officeDocument/2006/relationships/webSettings" Target="webSettings.xml"/><Relationship Id="rId12" Type="http://schemas.openxmlformats.org/officeDocument/2006/relationships/hyperlink" Target="https://giurcost.org/decisioni/2009/0253s-09.html" TargetMode="External"/><Relationship Id="rId17" Type="http://schemas.openxmlformats.org/officeDocument/2006/relationships/hyperlink" Target="https://giurcost.org/decisioni/2018/0207o-18.html" TargetMode="External"/><Relationship Id="rId25" Type="http://schemas.openxmlformats.org/officeDocument/2006/relationships/hyperlink" Target="https://giurcost.org/decisioni/2019/0099s-19.html" TargetMode="External"/><Relationship Id="rId33" Type="http://schemas.openxmlformats.org/officeDocument/2006/relationships/hyperlink" Target="https://giurcost.org/decisioni/1975/0027s-75.html" TargetMode="External"/><Relationship Id="rId38" Type="http://schemas.openxmlformats.org/officeDocument/2006/relationships/hyperlink" Target="https://giurcost.org/decisioni/2018/0207o-18.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6037</Words>
  <Characters>34415</Characters>
  <Application>Microsoft Office Word</Application>
  <DocSecurity>0</DocSecurity>
  <Lines>286</Lines>
  <Paragraphs>80</Paragraphs>
  <ScaleCrop>false</ScaleCrop>
  <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2023-10-03T07:03:00Z</dcterms:created>
  <dcterms:modified xsi:type="dcterms:W3CDTF">2023-10-03T07:11:00Z</dcterms:modified>
</cp:coreProperties>
</file>