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871" w:rsidRPr="00A37871" w:rsidRDefault="00A37871" w:rsidP="00A37871">
      <w:pPr>
        <w:spacing w:after="150" w:line="240" w:lineRule="auto"/>
        <w:ind w:firstLine="300"/>
        <w:jc w:val="center"/>
        <w:rPr>
          <w:rFonts w:ascii="Lato" w:eastAsia="Times New Roman" w:hAnsi="Lato" w:cs="Times New Roman"/>
          <w:b/>
          <w:color w:val="000000"/>
          <w:sz w:val="23"/>
          <w:szCs w:val="23"/>
          <w:lang w:eastAsia="it-IT"/>
        </w:rPr>
      </w:pPr>
      <w:r w:rsidRPr="00A37871">
        <w:rPr>
          <w:rFonts w:ascii="Lato" w:eastAsia="Times New Roman" w:hAnsi="Lato" w:cs="Times New Roman"/>
          <w:b/>
          <w:color w:val="000000"/>
          <w:sz w:val="23"/>
          <w:szCs w:val="23"/>
          <w:lang w:eastAsia="it-IT"/>
        </w:rPr>
        <w:t>107-2018</w:t>
      </w:r>
    </w:p>
    <w:p w:rsidR="00A37871" w:rsidRPr="00A37871" w:rsidRDefault="00A37871" w:rsidP="00A37871">
      <w:pPr>
        <w:spacing w:after="150" w:line="240" w:lineRule="auto"/>
        <w:ind w:firstLine="300"/>
        <w:jc w:val="both"/>
        <w:rPr>
          <w:rFonts w:ascii="Lato" w:eastAsia="Times New Roman" w:hAnsi="Lato" w:cs="Times New Roman"/>
          <w:color w:val="000000"/>
          <w:sz w:val="23"/>
          <w:szCs w:val="23"/>
          <w:lang w:eastAsia="it-IT"/>
        </w:rPr>
      </w:pPr>
      <w:r w:rsidRPr="00A37871">
        <w:rPr>
          <w:rFonts w:ascii="Lato" w:eastAsia="Times New Roman" w:hAnsi="Lato" w:cs="Times New Roman"/>
          <w:color w:val="000000"/>
          <w:sz w:val="23"/>
          <w:szCs w:val="23"/>
          <w:lang w:eastAsia="it-IT"/>
        </w:rPr>
        <w:t>3.3.– Quanto alla vocazione universalistica dei servizi sociali, a differenza del requisito della residenza tout court (che serve a identificare l’ente pubblico competente a erogare una certa prestazione ed è un requisito che ciascun soggetto può soddisfare in ogni momento), quello della residenza protratta integra una condizione che può precludere in concreto a un determinato soggetto l’accesso alle prestazioni pubbliche sia nella regione di attuale residenza sia in quella di provenienza (nella quale non è più residente). Le norme che introducono tale requisito vanno dunque vagliate con particolare attenzione, in quanto implicano il rischio di privare certi soggetti dell’accesso alle prestazioni pubbliche solo per il fatto di aver esercitato il proprio diritto di circolazione o di aver dovuto mutare regione di residenza.</w:t>
      </w:r>
    </w:p>
    <w:p w:rsidR="00A37871" w:rsidRPr="00A37871" w:rsidRDefault="00A37871" w:rsidP="00A37871">
      <w:pPr>
        <w:spacing w:after="150" w:line="240" w:lineRule="auto"/>
        <w:ind w:firstLine="300"/>
        <w:jc w:val="both"/>
        <w:rPr>
          <w:rFonts w:ascii="Lato" w:eastAsia="Times New Roman" w:hAnsi="Lato" w:cs="Times New Roman"/>
          <w:color w:val="000000"/>
          <w:sz w:val="23"/>
          <w:szCs w:val="23"/>
          <w:lang w:eastAsia="it-IT"/>
        </w:rPr>
      </w:pPr>
      <w:r w:rsidRPr="00A37871">
        <w:rPr>
          <w:rFonts w:ascii="Lato" w:eastAsia="Times New Roman" w:hAnsi="Lato" w:cs="Times New Roman"/>
          <w:color w:val="000000"/>
          <w:sz w:val="23"/>
          <w:szCs w:val="23"/>
          <w:lang w:eastAsia="it-IT"/>
        </w:rPr>
        <w:t>L’argomento utilizzato dalla Regione Veneto a sostegno dell’infondatezza della questione (ossia che la norma impugnata darebbe la precedenza «a coloro che abbiano più a lungo contribuito alla realizzazione del contesto sociale ed economico pubblico da cui ha origine il sistema locale di assistenza alla prima infanzia») non convince. In primo luogo, nessuno dei due criteri utilizzati dalla norma impugnata (residenza prolungata in Veneto o occupazione prolungata in Veneto) assicura che i genitori abbiano pagato tributi in Veneto per un lungo periodo (la residenza può non essere coincisa con un periodo lavorativo</w:t>
      </w:r>
      <w:bookmarkStart w:id="0" w:name="_GoBack"/>
      <w:bookmarkEnd w:id="0"/>
      <w:r w:rsidRPr="00A37871">
        <w:rPr>
          <w:rFonts w:ascii="Lato" w:eastAsia="Times New Roman" w:hAnsi="Lato" w:cs="Times New Roman"/>
          <w:color w:val="000000"/>
          <w:sz w:val="23"/>
          <w:szCs w:val="23"/>
          <w:lang w:eastAsia="it-IT"/>
        </w:rPr>
        <w:t xml:space="preserve"> e l’occupazione prolungata in Veneto non implica necessariamente la residenza in Veneto). L’argomento si presenta opinabile anche alla luce dell’effettivo assetto delle fonti di finanziamento degli asili nido, dato che le risorse necessarie per la costruzione degli edifici e lo svolgimento del servizio possono essere di origine non regionale (gli artt. 8 e 12 del citato d.lgs. n. 65 del 2017 prevedono finanziamenti statali, e la stessa legge reg. Veneto n. 32 del 1990 menziona «contributi statali» all’art. 32, comma 1), e che, per quanto riguarda le risorse provenienti dai bilanci dei comuni e delle regioni, si dovrebbe distinguere fra finanza “propria” e “derivata”. E ciò senza contare che, sotto un profilo più generale</w:t>
      </w:r>
      <w:r w:rsidRPr="00A37871">
        <w:rPr>
          <w:rFonts w:ascii="Lato" w:eastAsia="Times New Roman" w:hAnsi="Lato" w:cs="Times New Roman"/>
          <w:color w:val="FF0000"/>
          <w:sz w:val="23"/>
          <w:szCs w:val="23"/>
          <w:lang w:eastAsia="it-IT"/>
        </w:rPr>
        <w:t>, l’argomento del contributo pregresso tende inammissibilmente ad assegnare al dovere tributario finalità commutative, mentre esso è una manifestazione del dovere di solidarietà sociale</w:t>
      </w:r>
      <w:r w:rsidRPr="00A37871">
        <w:rPr>
          <w:rFonts w:ascii="Lato" w:eastAsia="Times New Roman" w:hAnsi="Lato" w:cs="Times New Roman"/>
          <w:color w:val="000000"/>
          <w:sz w:val="23"/>
          <w:szCs w:val="23"/>
          <w:lang w:eastAsia="it-IT"/>
        </w:rPr>
        <w:t>, e che applicare un criterio di questo tipo alle prestazioni sociali è di per sé contraddittorio, perché porta a limitare l’accesso proprio di coloro che ne hanno più bisogno.</w:t>
      </w:r>
    </w:p>
    <w:p w:rsidR="00A37871" w:rsidRPr="00A37871" w:rsidRDefault="00A37871" w:rsidP="00A37871">
      <w:pPr>
        <w:spacing w:after="150" w:line="240" w:lineRule="auto"/>
        <w:ind w:firstLine="300"/>
        <w:jc w:val="both"/>
        <w:rPr>
          <w:rFonts w:ascii="Lato" w:eastAsia="Times New Roman" w:hAnsi="Lato" w:cs="Times New Roman"/>
          <w:color w:val="000000"/>
          <w:sz w:val="23"/>
          <w:szCs w:val="23"/>
          <w:lang w:eastAsia="it-IT"/>
        </w:rPr>
      </w:pPr>
      <w:r w:rsidRPr="00A37871">
        <w:rPr>
          <w:rFonts w:ascii="Lato" w:eastAsia="Times New Roman" w:hAnsi="Lato" w:cs="Times New Roman"/>
          <w:color w:val="000000"/>
          <w:sz w:val="23"/>
          <w:szCs w:val="23"/>
          <w:lang w:eastAsia="it-IT"/>
        </w:rPr>
        <w:t>Si può osservare infine che chi si sposta in un’altra regione non ha contribuito al welfare di quella regione ma ha pagato i tributi nella regione di provenienza, e non è costituzionalmente ammissibile sfavorirlo nell’accesso ai servizi pubblici solo per aver esercitato il proprio diritto costituzionale di circolazione (o per essere stato trasferito o assegnato al Veneto per ragioni di lavoro o di altra natura).</w:t>
      </w:r>
    </w:p>
    <w:p w:rsidR="00A37871" w:rsidRPr="00A37871" w:rsidRDefault="00A37871" w:rsidP="00A37871">
      <w:pPr>
        <w:spacing w:after="150" w:line="240" w:lineRule="auto"/>
        <w:ind w:firstLine="300"/>
        <w:jc w:val="both"/>
        <w:rPr>
          <w:rFonts w:ascii="Lato" w:eastAsia="Times New Roman" w:hAnsi="Lato" w:cs="Times New Roman"/>
          <w:color w:val="000000"/>
          <w:sz w:val="23"/>
          <w:szCs w:val="23"/>
          <w:lang w:eastAsia="it-IT"/>
        </w:rPr>
      </w:pPr>
      <w:r w:rsidRPr="00A37871">
        <w:rPr>
          <w:rFonts w:ascii="Lato" w:eastAsia="Times New Roman" w:hAnsi="Lato" w:cs="Times New Roman"/>
          <w:color w:val="000000"/>
          <w:sz w:val="23"/>
          <w:szCs w:val="23"/>
          <w:lang w:eastAsia="it-IT"/>
        </w:rPr>
        <w:t xml:space="preserve">In conclusione, poiché il titolo di precedenza previsto dalla norma impugnata non ha alcun collegamento con la funzione degli asili nido né può essere giustificato con l’argomento del contributo pregresso, il suo scopo, che si esaurisce nel riconoscere una preferenza nell’accesso agli asili nido pubblici alle persone radicate in Veneto da lungo tempo, è incompatibile con l’art. 3 </w:t>
      </w:r>
      <w:proofErr w:type="spellStart"/>
      <w:r w:rsidRPr="00A37871">
        <w:rPr>
          <w:rFonts w:ascii="Lato" w:eastAsia="Times New Roman" w:hAnsi="Lato" w:cs="Times New Roman"/>
          <w:color w:val="000000"/>
          <w:sz w:val="23"/>
          <w:szCs w:val="23"/>
          <w:lang w:eastAsia="it-IT"/>
        </w:rPr>
        <w:t>Cost</w:t>
      </w:r>
      <w:proofErr w:type="spellEnd"/>
      <w:r w:rsidRPr="00A37871">
        <w:rPr>
          <w:rFonts w:ascii="Lato" w:eastAsia="Times New Roman" w:hAnsi="Lato" w:cs="Times New Roman"/>
          <w:color w:val="000000"/>
          <w:sz w:val="23"/>
          <w:szCs w:val="23"/>
          <w:lang w:eastAsia="it-IT"/>
        </w:rPr>
        <w:t>.</w:t>
      </w:r>
    </w:p>
    <w:p w:rsidR="00C81716" w:rsidRDefault="00C81716"/>
    <w:sectPr w:rsidR="00C817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71"/>
    <w:rsid w:val="00267D4F"/>
    <w:rsid w:val="00A37871"/>
    <w:rsid w:val="00C81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C0BE"/>
  <w15:chartTrackingRefBased/>
  <w15:docId w15:val="{1AB1C7DB-3BCE-4AD2-B159-CAD50641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Corte costituzionale</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Padula</dc:creator>
  <cp:keywords/>
  <dc:description/>
  <cp:lastModifiedBy>Carlo Padula</cp:lastModifiedBy>
  <cp:revision>2</cp:revision>
  <dcterms:created xsi:type="dcterms:W3CDTF">2023-10-12T10:25:00Z</dcterms:created>
  <dcterms:modified xsi:type="dcterms:W3CDTF">2023-10-12T10:26:00Z</dcterms:modified>
</cp:coreProperties>
</file>