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55B" w:rsidRPr="004B01DD" w:rsidRDefault="0043355B">
      <w:pPr>
        <w:pStyle w:val="Heading1"/>
        <w:jc w:val="center"/>
        <w:rPr>
          <w:rFonts w:ascii="Times New Roman" w:hAnsi="Times New Roman" w:cs="Times New Roman"/>
          <w:sz w:val="40"/>
          <w:szCs w:val="40"/>
          <w:lang w:val="en-GB"/>
        </w:rPr>
      </w:pPr>
      <w:r w:rsidRPr="004B01DD">
        <w:rPr>
          <w:rFonts w:ascii="Times New Roman" w:hAnsi="Times New Roman" w:cs="Times New Roman"/>
          <w:sz w:val="40"/>
          <w:szCs w:val="40"/>
          <w:lang w:val="en-GB"/>
        </w:rPr>
        <w:t>The Federalist No. 78</w:t>
      </w:r>
    </w:p>
    <w:p w:rsidR="0043355B" w:rsidRPr="004B01DD" w:rsidRDefault="0043355B">
      <w:pPr>
        <w:pStyle w:val="Heading2"/>
        <w:jc w:val="center"/>
        <w:rPr>
          <w:rFonts w:ascii="Times New Roman" w:hAnsi="Times New Roman" w:cs="Times New Roman"/>
          <w:sz w:val="40"/>
          <w:szCs w:val="40"/>
          <w:lang w:val="en-GB"/>
        </w:rPr>
      </w:pPr>
      <w:r w:rsidRPr="004B01DD">
        <w:rPr>
          <w:rFonts w:ascii="Times New Roman" w:hAnsi="Times New Roman" w:cs="Times New Roman"/>
          <w:sz w:val="40"/>
          <w:szCs w:val="40"/>
          <w:lang w:val="en-GB"/>
        </w:rPr>
        <w:t>The Judiciary Department</w:t>
      </w:r>
    </w:p>
    <w:p w:rsidR="0043355B" w:rsidRPr="004B01DD" w:rsidRDefault="0043355B">
      <w:pPr>
        <w:pStyle w:val="Heading3"/>
        <w:jc w:val="center"/>
        <w:rPr>
          <w:rFonts w:ascii="Times New Roman" w:hAnsi="Times New Roman" w:cs="Times New Roman"/>
          <w:sz w:val="40"/>
          <w:szCs w:val="40"/>
          <w:lang w:val="en-GB"/>
        </w:rPr>
      </w:pPr>
      <w:r w:rsidRPr="004B01DD">
        <w:rPr>
          <w:rFonts w:ascii="Times New Roman" w:hAnsi="Times New Roman" w:cs="Times New Roman"/>
          <w:i/>
          <w:iCs/>
          <w:sz w:val="40"/>
          <w:szCs w:val="40"/>
          <w:lang w:val="en-GB"/>
        </w:rPr>
        <w:t>Independent Journal</w:t>
      </w:r>
      <w:r w:rsidRPr="004B01DD">
        <w:rPr>
          <w:rFonts w:ascii="Times New Roman" w:hAnsi="Times New Roman" w:cs="Times New Roman"/>
          <w:sz w:val="40"/>
          <w:szCs w:val="40"/>
          <w:lang w:val="en-GB"/>
        </w:rPr>
        <w:br/>
        <w:t>Saturday, June 14, 1788</w:t>
      </w:r>
      <w:r w:rsidRPr="004B01DD">
        <w:rPr>
          <w:rFonts w:ascii="Times New Roman" w:hAnsi="Times New Roman" w:cs="Times New Roman"/>
          <w:sz w:val="40"/>
          <w:szCs w:val="40"/>
          <w:lang w:val="en-GB"/>
        </w:rPr>
        <w:br/>
        <w:t>[Alexander Hamilton]</w:t>
      </w:r>
    </w:p>
    <w:p w:rsidR="0043355B" w:rsidRPr="004B01DD" w:rsidRDefault="0043355B">
      <w:pPr>
        <w:pStyle w:val="Heading4"/>
        <w:rPr>
          <w:rFonts w:ascii="Times New Roman" w:hAnsi="Times New Roman" w:cs="Times New Roman"/>
          <w:sz w:val="40"/>
          <w:szCs w:val="40"/>
          <w:lang w:val="en-GB"/>
        </w:rPr>
      </w:pPr>
      <w:r w:rsidRPr="004B01DD">
        <w:rPr>
          <w:rFonts w:ascii="Times New Roman" w:hAnsi="Times New Roman" w:cs="Times New Roman"/>
          <w:sz w:val="40"/>
          <w:szCs w:val="40"/>
          <w:lang w:val="en-GB"/>
        </w:rPr>
        <w:t xml:space="preserve">To the People of the State of </w:t>
      </w:r>
      <w:smartTag w:uri="urn:schemas-microsoft-com:office:smarttags" w:element="place">
        <w:smartTag w:uri="urn:schemas-microsoft-com:office:smarttags" w:element="State">
          <w:r w:rsidRPr="004B01DD">
            <w:rPr>
              <w:rFonts w:ascii="Times New Roman" w:hAnsi="Times New Roman" w:cs="Times New Roman"/>
              <w:sz w:val="40"/>
              <w:szCs w:val="40"/>
              <w:lang w:val="en-GB"/>
            </w:rPr>
            <w:t>New York</w:t>
          </w:r>
        </w:smartTag>
      </w:smartTag>
    </w:p>
    <w:p w:rsidR="0043355B" w:rsidRPr="004B01DD" w:rsidRDefault="0043355B">
      <w:pPr>
        <w:rPr>
          <w:sz w:val="40"/>
          <w:szCs w:val="4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89"/>
        <w:gridCol w:w="4889"/>
      </w:tblGrid>
      <w:tr w:rsidR="0043355B" w:rsidRPr="004B01DD">
        <w:tc>
          <w:tcPr>
            <w:tcW w:w="4889" w:type="dxa"/>
          </w:tcPr>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 xml:space="preserve">The complete independence of the courts of justice is peculiarly essential in a limited Constitution. By a limited Constitution, I understand one which contains certain specified exceptions to the legislative authority; such, for instance, as that it shall pass no bills of attainder, no </w:t>
            </w:r>
            <w:r w:rsidRPr="004B01DD">
              <w:rPr>
                <w:rFonts w:ascii="Times New Roman" w:hAnsi="Times New Roman" w:cs="Times New Roman"/>
                <w:i/>
                <w:iCs/>
                <w:sz w:val="40"/>
                <w:szCs w:val="40"/>
                <w:lang w:val="en-GB"/>
              </w:rPr>
              <w:t>ex post facto</w:t>
            </w:r>
            <w:r w:rsidRPr="004B01DD">
              <w:rPr>
                <w:rFonts w:ascii="Times New Roman" w:hAnsi="Times New Roman" w:cs="Times New Roman"/>
                <w:sz w:val="40"/>
                <w:szCs w:val="40"/>
                <w:lang w:val="en-GB"/>
              </w:rPr>
              <w:t xml:space="preserve"> laws, and the like. Limitations of this kind can be preserved in practice no other way than through the medium of courts of justice, whose duty it must be to declare all acts contrary to the manifest tenor of the Constitution void. Without this, all the reservations of particular rights or privileges would amount to nothing.</w:t>
            </w:r>
          </w:p>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Some perplexity respecting the rights of the courts to pronounce legislative acts void, because contrary to the Constitution, has arisen from an imagination that the doctrine would imply a superiority of the judiciary to the legislative power. It is urged that the authority which can declare the acts of another void, must necessarily be superior to the one whose acts may be declared void. As this doctrine is of great importance in all the American constitutions, a brief discussion of the ground on which it rests cannot be unacceptable.</w:t>
            </w:r>
          </w:p>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There is no position which depends on clearer principles, than that every act of a delegated authority, contrary to the tenor of the commission under which it is exercised, is void. No legislative act, therefore, contrary to the Constitution, can be valid. To deny this, would be to affirm, that the deputy is greater than his principal; that the servant is above his master; that the representatives of the people are superior to the people themselves; that men acting by virtue of powers, may do not only what their powers do authorize, but what they forbid.</w:t>
            </w:r>
          </w:p>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 xml:space="preserve">If it be said that the legislative body are themselves the constitutional judges of their own powers, and that the construction they put upon them is conclusive upon the other departments, it may be answered, that this cannot be the natural presumption, where it is not to be collected from any particular provisions in the Constitution. It is not otherwise to be supposed, that the Constitution could intend to enable the representatives of the people to substitute their </w:t>
            </w:r>
            <w:r w:rsidRPr="004B01DD">
              <w:rPr>
                <w:rFonts w:ascii="Times New Roman" w:hAnsi="Times New Roman" w:cs="Times New Roman"/>
                <w:i/>
                <w:iCs/>
                <w:sz w:val="40"/>
                <w:szCs w:val="40"/>
                <w:lang w:val="en-GB"/>
              </w:rPr>
              <w:t>will</w:t>
            </w:r>
            <w:r w:rsidRPr="004B01DD">
              <w:rPr>
                <w:rFonts w:ascii="Times New Roman" w:hAnsi="Times New Roman" w:cs="Times New Roman"/>
                <w:sz w:val="40"/>
                <w:szCs w:val="40"/>
                <w:lang w:val="en-GB"/>
              </w:rPr>
              <w:t xml:space="preserve"> to that of their constituents. It is far more rational to suppose, that the courts were designed to be an intermediate body between the people and the legislature, in order, among other things, to keep the latter within the limits assigned to their authority. The interpretation of the laws is the proper and peculiar province of the courts. A constitution is, in fact, and must be regarded by the judges, as a fundamental law. It therefore belongs to them to ascertain its meaning, as well as the meaning of any particular act proceeding from the legislative body. If there should happen to be an irreconcilable variance between the two, that which has the superior obligation and validity ought, of course, to be preferred; or, in other words, the Constitution ought to be preferred to the statute, the intention of the people to the intention of their agents.</w:t>
            </w:r>
          </w:p>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Nor does this conclusion by any means suppose a superiority of the judicial to the legislative power. It only supposes that the power of the people is superior to both; and that where the will of the legislature, declared in its statutes, stands in opposition to that of the people, declared in the Constitution, the judges ought to be governed by the latter rather than the former. They ought to regulate their decisions by the fundamental laws, rather than by those which are not fundamental</w:t>
            </w:r>
          </w:p>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This exercise of judicial discretion, in determining between two contradictory laws, is exemplified in a familiar instance. It not uncommonly happens, that there are two statutes existing at one time, clashing in whole or in part with each other, and neither of them containing any repealing clause or expression. In such a case, it is the province of the courts to liquidate and fix their meaning and operation. So far as they can, by any fair construction, be reconciled to each other, reason and law conspire to dictate that this should be done; where this is impracticable, it becomes a matter of necessity to give effect to one, in exclusion of the other. The rule which has obtained in the courts for determining their relative validity is, that the last in order of time shall be preferred to the first. But this is a mere rule of construction, not derived from any positive law, but from the nature and reason of the thing. It is a rule not enjoined upon the courts by legislative provision, but adopted by themselves, as consonant to truth and propriety, for the direction of their conduct as interpreters of the law. They thought it reasonable, that between the interfering acts of an EQUAL authority, that which was the last indication of its will should have the preference.</w:t>
            </w:r>
          </w:p>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But in regard to the interfering acts of a superior and subordinate authority, of an original and derivative power, the nature and reason of the thing indicate the converse of that rule as proper to be followed. They teach us that the prior act of a superior ought to be preferred to the subsequent act of an inferior and subordinate authority; and that accordingly, whenever a particular statute contravenes the Constitution, it will be the duty of the judicial tribunals to adhere to the latter and disregard the former.</w:t>
            </w:r>
          </w:p>
          <w:p w:rsidR="0043355B" w:rsidRPr="004B01DD" w:rsidRDefault="0043355B">
            <w:pPr>
              <w:rPr>
                <w:sz w:val="40"/>
                <w:szCs w:val="40"/>
                <w:lang w:val="en-GB"/>
              </w:rPr>
            </w:pPr>
          </w:p>
        </w:tc>
        <w:tc>
          <w:tcPr>
            <w:tcW w:w="4889" w:type="dxa"/>
          </w:tcPr>
          <w:p w:rsidR="0043355B" w:rsidRPr="004B01DD" w:rsidRDefault="0043355B">
            <w:pPr>
              <w:rPr>
                <w:sz w:val="40"/>
                <w:szCs w:val="40"/>
              </w:rPr>
            </w:pPr>
            <w:r w:rsidRPr="004B01DD">
              <w:rPr>
                <w:sz w:val="40"/>
                <w:szCs w:val="40"/>
              </w:rPr>
              <w:t>La completa indipendenza delle corti di giustizia</w:t>
            </w:r>
          </w:p>
          <w:p w:rsidR="0043355B" w:rsidRPr="004B01DD" w:rsidRDefault="0043355B">
            <w:pPr>
              <w:rPr>
                <w:sz w:val="40"/>
                <w:szCs w:val="40"/>
              </w:rPr>
            </w:pPr>
            <w:r w:rsidRPr="004B01DD">
              <w:rPr>
                <w:sz w:val="40"/>
                <w:szCs w:val="40"/>
              </w:rPr>
              <w:t xml:space="preserve">è particolarmente importante in una Costituzione rigida. </w:t>
            </w:r>
            <w:r w:rsidRPr="004B01DD">
              <w:rPr>
                <w:sz w:val="40"/>
                <w:szCs w:val="40"/>
                <w:u w:val="single"/>
              </w:rPr>
              <w:t>Per Costituzione rigida, io intendo una che contiene certe specifiche limitazioni all’autorità legislativa</w:t>
            </w:r>
            <w:r w:rsidRPr="004B01DD">
              <w:rPr>
                <w:sz w:val="40"/>
                <w:szCs w:val="40"/>
              </w:rPr>
              <w:t xml:space="preserve">; tali, ad esempio, che essa non adotterà </w:t>
            </w:r>
            <w:r w:rsidRPr="004B01DD">
              <w:rPr>
                <w:i/>
                <w:iCs/>
                <w:sz w:val="40"/>
                <w:szCs w:val="40"/>
              </w:rPr>
              <w:t>bills of attainder</w:t>
            </w:r>
            <w:r w:rsidRPr="004B01DD">
              <w:rPr>
                <w:sz w:val="40"/>
                <w:szCs w:val="40"/>
              </w:rPr>
              <w:t xml:space="preserve">, leggi </w:t>
            </w:r>
            <w:r w:rsidRPr="004B01DD">
              <w:rPr>
                <w:i/>
                <w:iCs/>
                <w:sz w:val="40"/>
                <w:szCs w:val="40"/>
              </w:rPr>
              <w:t xml:space="preserve">ex post facto </w:t>
            </w:r>
            <w:r w:rsidRPr="004B01DD">
              <w:rPr>
                <w:sz w:val="40"/>
                <w:szCs w:val="40"/>
              </w:rPr>
              <w:t xml:space="preserve">e simili. </w:t>
            </w:r>
            <w:r w:rsidRPr="004B01DD">
              <w:rPr>
                <w:sz w:val="40"/>
                <w:szCs w:val="40"/>
                <w:u w:val="single"/>
              </w:rPr>
              <w:t>Limitazioni di questo tipo possono essere garantite, di fatto, solo attraverso le corti di giustizia, il cui dovere è quello di dichiarare nulli tutti gli atti contrari al contenuto evidente della Costituzione. Senza ciò, tutte le previsioni di particolari diritti o prerogative corrisponderebbero a nulla</w:t>
            </w:r>
            <w:r w:rsidRPr="004B01DD">
              <w:rPr>
                <w:sz w:val="40"/>
                <w:szCs w:val="40"/>
              </w:rPr>
              <w:t>.</w:t>
            </w:r>
          </w:p>
          <w:p w:rsidR="0043355B" w:rsidRPr="004B01DD" w:rsidRDefault="0043355B">
            <w:pPr>
              <w:rPr>
                <w:sz w:val="40"/>
                <w:szCs w:val="40"/>
              </w:rPr>
            </w:pPr>
          </w:p>
          <w:p w:rsidR="0043355B" w:rsidRPr="004B01DD" w:rsidRDefault="0043355B">
            <w:pPr>
              <w:rPr>
                <w:sz w:val="40"/>
                <w:szCs w:val="40"/>
              </w:rPr>
            </w:pPr>
            <w:r w:rsidRPr="004B01DD">
              <w:rPr>
                <w:sz w:val="40"/>
                <w:szCs w:val="40"/>
                <w:u w:val="single"/>
              </w:rPr>
              <w:t>Alcune perplessità riguardo al potere delle corti di dichiarare nulle le leggi, in quanto contrarie alla Costituzione, sono sorte dall’idea che tale teoria implicherebbe una superiorità del giudiziario sul potere legislativo. Si argomenta che l’autorità che può dichiarare nulli gli atti di un’altra deve necessariamente essere superiore a quella i cui atti possono essere dichiarati nulli.</w:t>
            </w:r>
            <w:r w:rsidRPr="004B01DD">
              <w:rPr>
                <w:sz w:val="40"/>
                <w:szCs w:val="40"/>
              </w:rPr>
              <w:t xml:space="preserve"> Poiché questa teoria è di grande importanza in tutte le costituzioni americane, una breve illustrazione delle sue basi non può essere rifiutata.</w:t>
            </w:r>
          </w:p>
          <w:p w:rsidR="0043355B" w:rsidRPr="004B01DD" w:rsidRDefault="0043355B">
            <w:pPr>
              <w:rPr>
                <w:sz w:val="40"/>
                <w:szCs w:val="40"/>
              </w:rPr>
            </w:pPr>
          </w:p>
          <w:p w:rsidR="0043355B" w:rsidRPr="004B01DD" w:rsidRDefault="0043355B">
            <w:pPr>
              <w:rPr>
                <w:sz w:val="40"/>
                <w:szCs w:val="40"/>
              </w:rPr>
            </w:pPr>
            <w:r w:rsidRPr="004B01DD">
              <w:rPr>
                <w:sz w:val="40"/>
                <w:szCs w:val="40"/>
                <w:u w:val="single"/>
              </w:rPr>
              <w:t>Non c’è asserzione che discenda da principi più certi di quella che ogni atto di un’autorità delegata, contrario al contenuto dell’atto di delega sulla base del quale è adottato, è nullo. Nessun atto legislativo, perciò, contrario alla Costituzione può essere valido. Negare ciò significa affermare che il delegato è più importante del committente; che il servo sta sopra il suo padrone; che i rappresentanti del popolo sono superiori al popolo stesso</w:t>
            </w:r>
            <w:r w:rsidRPr="004B01DD">
              <w:rPr>
                <w:sz w:val="40"/>
                <w:szCs w:val="40"/>
              </w:rPr>
              <w:t>; che gli uomini che agiscono in virtù di certi poteri possono fare non solo ciò che i loro poteri consentono, ma ciò che essi vietano.</w:t>
            </w: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u w:val="single"/>
              </w:rPr>
            </w:pPr>
          </w:p>
          <w:p w:rsidR="0043355B" w:rsidRPr="004B01DD" w:rsidRDefault="0043355B">
            <w:pPr>
              <w:rPr>
                <w:sz w:val="40"/>
                <w:szCs w:val="40"/>
                <w:u w:val="single"/>
              </w:rPr>
            </w:pPr>
          </w:p>
          <w:p w:rsidR="0043355B" w:rsidRPr="004B01DD" w:rsidRDefault="0043355B">
            <w:pPr>
              <w:rPr>
                <w:sz w:val="40"/>
                <w:szCs w:val="40"/>
                <w:u w:val="single"/>
              </w:rPr>
            </w:pPr>
          </w:p>
          <w:p w:rsidR="0043355B" w:rsidRPr="004B01DD" w:rsidRDefault="0043355B">
            <w:pPr>
              <w:rPr>
                <w:sz w:val="40"/>
                <w:szCs w:val="40"/>
                <w:u w:val="single"/>
              </w:rPr>
            </w:pPr>
          </w:p>
          <w:p w:rsidR="0043355B" w:rsidRPr="004B01DD" w:rsidRDefault="0043355B">
            <w:pPr>
              <w:rPr>
                <w:sz w:val="40"/>
                <w:szCs w:val="40"/>
                <w:u w:val="single"/>
              </w:rPr>
            </w:pPr>
          </w:p>
          <w:p w:rsidR="0043355B" w:rsidRPr="004B01DD" w:rsidRDefault="0043355B">
            <w:pPr>
              <w:rPr>
                <w:sz w:val="40"/>
                <w:szCs w:val="40"/>
                <w:u w:val="single"/>
              </w:rPr>
            </w:pPr>
          </w:p>
          <w:p w:rsidR="0043355B" w:rsidRPr="004B01DD" w:rsidRDefault="0043355B">
            <w:pPr>
              <w:rPr>
                <w:sz w:val="40"/>
                <w:szCs w:val="40"/>
              </w:rPr>
            </w:pPr>
            <w:r w:rsidRPr="004B01DD">
              <w:rPr>
                <w:sz w:val="40"/>
                <w:szCs w:val="40"/>
                <w:u w:val="single"/>
              </w:rPr>
              <w:t>L’interpretazione delle leggi è la tipica funzion</w:t>
            </w:r>
            <w:r>
              <w:rPr>
                <w:sz w:val="40"/>
                <w:szCs w:val="40"/>
                <w:u w:val="single"/>
              </w:rPr>
              <w:t>e delle corti. Una Costituzione</w:t>
            </w:r>
            <w:r w:rsidRPr="004B01DD">
              <w:rPr>
                <w:sz w:val="40"/>
                <w:szCs w:val="40"/>
                <w:u w:val="single"/>
              </w:rPr>
              <w:t xml:space="preserve"> è e deve</w:t>
            </w:r>
            <w:r>
              <w:rPr>
                <w:sz w:val="40"/>
                <w:szCs w:val="40"/>
                <w:u w:val="single"/>
              </w:rPr>
              <w:t xml:space="preserve"> essere considerata dai giudici</w:t>
            </w:r>
            <w:r w:rsidRPr="004B01DD">
              <w:rPr>
                <w:sz w:val="40"/>
                <w:szCs w:val="40"/>
                <w:u w:val="single"/>
              </w:rPr>
              <w:t xml:space="preserve"> una legge fondamentale. Spetta ad essi accertare il suo significato, così come il significato di ogni atto adottato dal corpo legislativo. Se ci dovesse essere un inconciliabile contrasto fra i due atti, quello che ha la forza superiore dovrebbe, ovviamente, essere preferito; o, in altre parole, </w:t>
            </w:r>
            <w:smartTag w:uri="urn:schemas-microsoft-com:office:smarttags" w:element="PersonName">
              <w:smartTagPr>
                <w:attr w:name="ProductID" w:val="la Costituzione"/>
              </w:smartTagPr>
              <w:r w:rsidRPr="004B01DD">
                <w:rPr>
                  <w:sz w:val="40"/>
                  <w:szCs w:val="40"/>
                  <w:u w:val="single"/>
                </w:rPr>
                <w:t>la Costituzione</w:t>
              </w:r>
            </w:smartTag>
            <w:r w:rsidRPr="004B01DD">
              <w:rPr>
                <w:sz w:val="40"/>
                <w:szCs w:val="40"/>
                <w:u w:val="single"/>
              </w:rPr>
              <w:t xml:space="preserve"> dovrebbe essere preferita alla legge, l’intenzione del popolo all’intenzione dei suoi rappresentanti</w:t>
            </w:r>
            <w:r w:rsidRPr="004B01DD">
              <w:rPr>
                <w:sz w:val="40"/>
                <w:szCs w:val="40"/>
              </w:rPr>
              <w:t>.</w:t>
            </w:r>
          </w:p>
          <w:p w:rsidR="0043355B" w:rsidRPr="004B01DD" w:rsidRDefault="0043355B">
            <w:pPr>
              <w:rPr>
                <w:sz w:val="40"/>
                <w:szCs w:val="40"/>
              </w:rPr>
            </w:pPr>
          </w:p>
          <w:p w:rsidR="0043355B" w:rsidRPr="004B01DD" w:rsidRDefault="0043355B">
            <w:pPr>
              <w:rPr>
                <w:sz w:val="40"/>
                <w:szCs w:val="40"/>
              </w:rPr>
            </w:pPr>
            <w:bookmarkStart w:id="0" w:name="_GoBack"/>
            <w:bookmarkEnd w:id="0"/>
          </w:p>
          <w:p w:rsidR="0043355B" w:rsidRPr="004B01DD" w:rsidRDefault="0043355B">
            <w:pPr>
              <w:rPr>
                <w:sz w:val="40"/>
                <w:szCs w:val="40"/>
              </w:rPr>
            </w:pPr>
          </w:p>
          <w:p w:rsidR="0043355B" w:rsidRPr="004B01DD" w:rsidRDefault="0043355B">
            <w:pPr>
              <w:rPr>
                <w:sz w:val="40"/>
                <w:szCs w:val="40"/>
              </w:rPr>
            </w:pPr>
            <w:r w:rsidRPr="004B01DD">
              <w:rPr>
                <w:sz w:val="40"/>
                <w:szCs w:val="40"/>
                <w:u w:val="single"/>
              </w:rPr>
              <w:t>Né questa conclusione implica in alcun modo una superiorità del giudiziario sul potere legislativo. Essa presuppone solo che il potere del popolo è superiore a entrambi</w:t>
            </w:r>
            <w:r w:rsidRPr="004B01DD">
              <w:rPr>
                <w:sz w:val="40"/>
                <w:szCs w:val="40"/>
              </w:rPr>
              <w:t>;……..</w:t>
            </w: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r w:rsidRPr="004B01DD">
              <w:rPr>
                <w:sz w:val="40"/>
                <w:szCs w:val="40"/>
              </w:rPr>
              <w:t>Ma in relazione alle interferenze fra gli atti di un’autorità superiore e di una inferiore, di un potere originario e di uno derivato, la natura e la ragione della cosa indicano che la regola opposta a quella di cui sopra è quella giusta da seguire….</w:t>
            </w:r>
          </w:p>
        </w:tc>
      </w:tr>
      <w:tr w:rsidR="0043355B" w:rsidRPr="004B01DD">
        <w:tc>
          <w:tcPr>
            <w:tcW w:w="4889" w:type="dxa"/>
          </w:tcPr>
          <w:p w:rsidR="0043355B" w:rsidRPr="004B01DD" w:rsidRDefault="0043355B">
            <w:pPr>
              <w:pStyle w:val="Heading1"/>
              <w:jc w:val="center"/>
              <w:rPr>
                <w:rFonts w:ascii="Times New Roman" w:hAnsi="Times New Roman" w:cs="Times New Roman"/>
                <w:sz w:val="40"/>
                <w:szCs w:val="40"/>
                <w:lang w:val="en-GB"/>
              </w:rPr>
            </w:pPr>
            <w:r w:rsidRPr="004B01DD">
              <w:rPr>
                <w:rFonts w:ascii="Times New Roman" w:hAnsi="Times New Roman" w:cs="Times New Roman"/>
                <w:sz w:val="40"/>
                <w:szCs w:val="40"/>
                <w:lang w:val="en-GB"/>
              </w:rPr>
              <w:t>The Federalist No. 80</w:t>
            </w:r>
          </w:p>
          <w:p w:rsidR="0043355B" w:rsidRPr="004B01DD" w:rsidRDefault="0043355B">
            <w:pPr>
              <w:pStyle w:val="Heading2"/>
              <w:jc w:val="center"/>
              <w:rPr>
                <w:rFonts w:ascii="Times New Roman" w:hAnsi="Times New Roman" w:cs="Times New Roman"/>
                <w:sz w:val="40"/>
                <w:szCs w:val="40"/>
                <w:lang w:val="en-GB"/>
              </w:rPr>
            </w:pPr>
            <w:r w:rsidRPr="004B01DD">
              <w:rPr>
                <w:rFonts w:ascii="Times New Roman" w:hAnsi="Times New Roman" w:cs="Times New Roman"/>
                <w:sz w:val="40"/>
                <w:szCs w:val="40"/>
                <w:lang w:val="en-GB"/>
              </w:rPr>
              <w:t>The Powers of the Judiciary</w:t>
            </w:r>
          </w:p>
          <w:p w:rsidR="0043355B" w:rsidRPr="004B01DD" w:rsidRDefault="0043355B">
            <w:pPr>
              <w:pStyle w:val="Heading3"/>
              <w:jc w:val="center"/>
              <w:rPr>
                <w:rFonts w:ascii="Times New Roman" w:hAnsi="Times New Roman" w:cs="Times New Roman"/>
                <w:sz w:val="40"/>
                <w:szCs w:val="40"/>
                <w:lang w:val="en-GB"/>
              </w:rPr>
            </w:pPr>
            <w:r w:rsidRPr="004B01DD">
              <w:rPr>
                <w:rFonts w:ascii="Times New Roman" w:hAnsi="Times New Roman" w:cs="Times New Roman"/>
                <w:i/>
                <w:iCs/>
                <w:sz w:val="40"/>
                <w:szCs w:val="40"/>
                <w:lang w:val="en-GB"/>
              </w:rPr>
              <w:t>Independent Journal</w:t>
            </w:r>
            <w:r w:rsidRPr="004B01DD">
              <w:rPr>
                <w:rFonts w:ascii="Times New Roman" w:hAnsi="Times New Roman" w:cs="Times New Roman"/>
                <w:sz w:val="40"/>
                <w:szCs w:val="40"/>
                <w:lang w:val="en-GB"/>
              </w:rPr>
              <w:br/>
              <w:t>Saturday, June 21, 1788</w:t>
            </w:r>
            <w:r w:rsidRPr="004B01DD">
              <w:rPr>
                <w:rFonts w:ascii="Times New Roman" w:hAnsi="Times New Roman" w:cs="Times New Roman"/>
                <w:sz w:val="40"/>
                <w:szCs w:val="40"/>
                <w:lang w:val="en-GB"/>
              </w:rPr>
              <w:br/>
              <w:t>[Alexander Hamilton]</w:t>
            </w:r>
          </w:p>
          <w:p w:rsidR="0043355B" w:rsidRPr="004B01DD" w:rsidRDefault="0043355B">
            <w:pPr>
              <w:pStyle w:val="Heading4"/>
              <w:rPr>
                <w:rFonts w:ascii="Times New Roman" w:hAnsi="Times New Roman" w:cs="Times New Roman"/>
                <w:sz w:val="40"/>
                <w:szCs w:val="40"/>
                <w:lang w:val="en-GB"/>
              </w:rPr>
            </w:pPr>
            <w:r w:rsidRPr="004B01DD">
              <w:rPr>
                <w:rFonts w:ascii="Times New Roman" w:hAnsi="Times New Roman" w:cs="Times New Roman"/>
                <w:sz w:val="40"/>
                <w:szCs w:val="40"/>
                <w:lang w:val="en-GB"/>
              </w:rPr>
              <w:t>To the People of the State of New York</w:t>
            </w:r>
          </w:p>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TO JUDGE with accuracy of the proper extent of the federal judicature, it will be necessary to consider, in the first place, what are its proper objects.</w:t>
            </w:r>
          </w:p>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It seems scarcely to admit of controversy, that the judicary authority of the Union ought to extend to these several descriptions of cases: 1st, to all those which arise out of the laws of the United States, passed in pursuance of their just and constitutional powers of legislation; 2d, to all those which concern the execution of the provisions expressly contained in the articles of Union; 3d, to all those in which the United States are a party; 4th, to all those which involve the PEACE of the CONFEDERACY, whether they relate to the intercourse between the United States and foreign nations, or to that between the States themselves; 5th, to all those which originate on the high seas, and are of admiralty or maritime jurisdiction; and, lastly, to all those in which the State tribunals cannot be supposed to be impartial and unbiased.</w:t>
            </w:r>
          </w:p>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The first point depends upon this obvious consideration, that there ought always to be a constitutional method of giving efficacy to constitutional provisions. What, for instance, would avail restrictions on the authority of the State legislatures, without some constitutional mode of enforcing the observance of them? The States, by the plan of the convention, are prohibited from doing a variety of things, some of which are incompatible with the interests of the Union, and others with the principles of good government. The imposition of duties on imported articles, and the emission of paper money, are specimens of each kind. No man of sense will believe, that such prohibitions would be scrupulously regarded, without some effectual power in the government to restrain or correct the infractions of them. This power must either be a direct negative on the State laws, or an authority in the federal courts to overrule such as might be in manifest contravention of the articles of Union. There is no third course that I can imagine. The latter appears to have been thought by the convention preferable to the former, and, I presume, will be most agreeable to the States.</w:t>
            </w:r>
          </w:p>
          <w:p w:rsidR="0043355B" w:rsidRPr="004B01DD" w:rsidRDefault="0043355B">
            <w:pPr>
              <w:rPr>
                <w:sz w:val="40"/>
                <w:szCs w:val="40"/>
                <w:lang w:val="en-GB"/>
              </w:rPr>
            </w:pPr>
            <w:r w:rsidRPr="004B01DD">
              <w:rPr>
                <w:sz w:val="40"/>
                <w:szCs w:val="40"/>
                <w:lang w:val="en-GB"/>
              </w:rPr>
              <w:t>…….</w:t>
            </w:r>
          </w:p>
          <w:p w:rsidR="0043355B" w:rsidRPr="004B01DD" w:rsidRDefault="0043355B">
            <w:pPr>
              <w:pStyle w:val="NormalWeb"/>
              <w:rPr>
                <w:rFonts w:ascii="Times New Roman" w:hAnsi="Times New Roman" w:cs="Times New Roman"/>
                <w:sz w:val="40"/>
                <w:szCs w:val="40"/>
                <w:lang w:val="en-GB"/>
              </w:rPr>
            </w:pPr>
            <w:r w:rsidRPr="004B01DD">
              <w:rPr>
                <w:rFonts w:ascii="Times New Roman" w:hAnsi="Times New Roman" w:cs="Times New Roman"/>
                <w:sz w:val="40"/>
                <w:szCs w:val="40"/>
                <w:lang w:val="en-GB"/>
              </w:rPr>
              <w:t>Having thus laid down and discussed the principles which ought to regulate the constitution of the federal judiciary, we will proceed to test, by these principles, the particular powers of which, according to the plan of the convention, it is to be composed. It is to comprehend "all cases in law and equity arising under the Constitution, the laws of the United States, and treaties made, or which shall be made, under their authority; to all cases affecting ambassadors, other public ministers, and consuls; to all cases of admiralty and maritime jurisdiction; to controversies to which the United States shall be a party; to controversies between two or more States; between a State and citizens of another State; between citizens of different States; between citizens of the same State claiming lands and grants of different States; and between a State or the citizens thereof and foreign states, citizens, and subjects." This constitutes the entire mass of the judicial authority of the Union. Let us now review it in detail. It is, then, to extend:</w:t>
            </w:r>
          </w:p>
          <w:p w:rsidR="0043355B" w:rsidRPr="004B01DD" w:rsidRDefault="0043355B">
            <w:pPr>
              <w:pStyle w:val="NormalWeb"/>
              <w:rPr>
                <w:sz w:val="40"/>
                <w:szCs w:val="40"/>
                <w:lang w:val="en-GB"/>
              </w:rPr>
            </w:pPr>
            <w:r w:rsidRPr="004B01DD">
              <w:rPr>
                <w:rFonts w:ascii="Times New Roman" w:hAnsi="Times New Roman" w:cs="Times New Roman"/>
                <w:i/>
                <w:iCs/>
                <w:sz w:val="40"/>
                <w:szCs w:val="40"/>
                <w:lang w:val="en-GB"/>
              </w:rPr>
              <w:t>First</w:t>
            </w:r>
            <w:r w:rsidRPr="004B01DD">
              <w:rPr>
                <w:rFonts w:ascii="Times New Roman" w:hAnsi="Times New Roman" w:cs="Times New Roman"/>
                <w:sz w:val="40"/>
                <w:szCs w:val="40"/>
                <w:lang w:val="en-GB"/>
              </w:rPr>
              <w:t xml:space="preserve">. To all cases in law and equity, </w:t>
            </w:r>
            <w:r w:rsidRPr="004B01DD">
              <w:rPr>
                <w:rFonts w:ascii="Times New Roman" w:hAnsi="Times New Roman" w:cs="Times New Roman"/>
                <w:i/>
                <w:iCs/>
                <w:sz w:val="40"/>
                <w:szCs w:val="40"/>
                <w:lang w:val="en-GB"/>
              </w:rPr>
              <w:t>arising under the Constitution and the laws of the United States</w:t>
            </w:r>
            <w:r w:rsidRPr="004B01DD">
              <w:rPr>
                <w:rFonts w:ascii="Times New Roman" w:hAnsi="Times New Roman" w:cs="Times New Roman"/>
                <w:sz w:val="40"/>
                <w:szCs w:val="40"/>
                <w:lang w:val="en-GB"/>
              </w:rPr>
              <w:t>. This corresponds with the two first classes of causes, which have been enumerated, as proper for the jurisdiction of the United States. It has been asked, what is meant by "cases arising under the Constitution," in contradiction from those "arising under the laws of the United States"? The difference has been already explained. All the restrictions upon the authority of the State legislatures furnish examples of it. They are not, for instance, to emit paper money; but the interdiction results from the Constitution, and will have no connection with any law of the United States. Should paper money, notwithstanding, be emited, the controversies concerning it would be cases arising under the Constitution and not the laws of the United States, in the ordinary signification of the terms. This may serve as a sample of the whole.</w:t>
            </w:r>
          </w:p>
          <w:p w:rsidR="0043355B" w:rsidRPr="004B01DD" w:rsidRDefault="0043355B">
            <w:pPr>
              <w:rPr>
                <w:sz w:val="40"/>
                <w:szCs w:val="40"/>
                <w:lang w:val="en-GB"/>
              </w:rPr>
            </w:pPr>
          </w:p>
        </w:tc>
        <w:tc>
          <w:tcPr>
            <w:tcW w:w="4889" w:type="dxa"/>
          </w:tcPr>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r w:rsidRPr="004B01DD">
              <w:rPr>
                <w:sz w:val="40"/>
                <w:szCs w:val="40"/>
              </w:rPr>
              <w:t>Per valutare con accuratezza la giusta estensione della giurisdizione federale, sarà necessario considerare, in primo luogo, quali sono i suoi oggetti naturali.</w:t>
            </w:r>
          </w:p>
          <w:p w:rsidR="0043355B" w:rsidRPr="004B01DD" w:rsidRDefault="0043355B">
            <w:pPr>
              <w:rPr>
                <w:sz w:val="40"/>
                <w:szCs w:val="40"/>
              </w:rPr>
            </w:pPr>
          </w:p>
          <w:p w:rsidR="0043355B" w:rsidRPr="004B01DD" w:rsidRDefault="0043355B">
            <w:pPr>
              <w:rPr>
                <w:sz w:val="40"/>
                <w:szCs w:val="40"/>
              </w:rPr>
            </w:pPr>
            <w:r w:rsidRPr="004B01DD">
              <w:rPr>
                <w:sz w:val="40"/>
                <w:szCs w:val="40"/>
              </w:rPr>
              <w:t>Sembra poco contestabile che la giurisdizione dell’Unione dovrebbe estendersi a queste diverse fattispecie: 1. a tutti i casi di violazione delle leggi degli Stati Uniti, adottate nell’esercizio dei loro giusti e costituzionali poteri legislativi…</w:t>
            </w: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r w:rsidRPr="004B01DD">
              <w:rPr>
                <w:sz w:val="40"/>
                <w:szCs w:val="40"/>
              </w:rPr>
              <w:t>Il primo punto dipenda da questa ovvia considerazione, che dovrebbe esserci sempre un mezzo costituzionale per attuare norme costituzionali. Per esempio, a che cosa servirebbero le limitazioni del potere delle assemblee statali, senza qualche mezzo costituzionale per garantire l’osservanza di esse? Gli Stati, nel progetto della convenzione, non possono fare diverse cose,….</w:t>
            </w: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r w:rsidRPr="004B01DD">
              <w:rPr>
                <w:sz w:val="40"/>
                <w:szCs w:val="40"/>
              </w:rPr>
              <w:t>L’imposizione di tasse sulle importazioni e l’emissione di carta moneta sono esempi… Nessun uomo di buon senso crederà che tali divieti sarebbero scrupolosamente osservati, senza qualche strumento effettivo idoneo a sanzionare le violazioni di essi. Questo potere può tradursi o in un veto diretto sulle leggi statali, o nel potere delle corti federali di controllare quello che potrebbe essere in palese contraddizione con la Costituzione. Non c’è un terzo sistema immaginabile….</w:t>
            </w: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r w:rsidRPr="004B01DD">
              <w:rPr>
                <w:sz w:val="40"/>
                <w:szCs w:val="40"/>
              </w:rPr>
              <w:t>Ci si è chiesti che cosa significa “casi che sorgono nell’ambito della Costituzione”, in contrapposizione con quelli “che sorgono nell’ambito delle leggi degli Stati Uniti”. La differenza è già stata spiegata. Tutte le limitazioni del potere delle assemblee statali forniscono esempi di ciò.Esse non possono, ad esempio, emettere carta moneta; ma il divieto risulta dalla Costituzione, e non è collegato ad alcuna legge degli Stati Uniti. Se carta moneta dovesse, ciononostante, essere emessa, le relative controversie sarebbero casi “arising under the Constitution”…</w:t>
            </w: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p w:rsidR="0043355B" w:rsidRPr="004B01DD" w:rsidRDefault="0043355B">
            <w:pPr>
              <w:rPr>
                <w:sz w:val="40"/>
                <w:szCs w:val="40"/>
              </w:rPr>
            </w:pPr>
          </w:p>
        </w:tc>
      </w:tr>
    </w:tbl>
    <w:p w:rsidR="0043355B" w:rsidRPr="004B01DD" w:rsidRDefault="0043355B">
      <w:pPr>
        <w:rPr>
          <w:sz w:val="40"/>
          <w:szCs w:val="40"/>
        </w:rPr>
      </w:pPr>
    </w:p>
    <w:sectPr w:rsidR="0043355B" w:rsidRPr="004B01DD" w:rsidSect="00AE76F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08"/>
  <w:hyphenationZone w:val="283"/>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4995"/>
    <w:rsid w:val="001D5255"/>
    <w:rsid w:val="0043355B"/>
    <w:rsid w:val="004B01DD"/>
    <w:rsid w:val="004F4995"/>
    <w:rsid w:val="0060638A"/>
    <w:rsid w:val="006B626B"/>
    <w:rsid w:val="007D4834"/>
    <w:rsid w:val="008944F3"/>
    <w:rsid w:val="00AE76FD"/>
    <w:rsid w:val="00DD64B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FD"/>
    <w:rPr>
      <w:sz w:val="24"/>
      <w:szCs w:val="24"/>
    </w:rPr>
  </w:style>
  <w:style w:type="paragraph" w:styleId="Heading1">
    <w:name w:val="heading 1"/>
    <w:basedOn w:val="Normal"/>
    <w:link w:val="Heading1Char"/>
    <w:uiPriority w:val="99"/>
    <w:qFormat/>
    <w:rsid w:val="00AE76FD"/>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2">
    <w:name w:val="heading 2"/>
    <w:basedOn w:val="Normal"/>
    <w:link w:val="Heading2Char"/>
    <w:uiPriority w:val="99"/>
    <w:qFormat/>
    <w:rsid w:val="00AE76FD"/>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link w:val="Heading3Char"/>
    <w:uiPriority w:val="99"/>
    <w:qFormat/>
    <w:rsid w:val="00AE76FD"/>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link w:val="Heading4Char"/>
    <w:uiPriority w:val="99"/>
    <w:qFormat/>
    <w:rsid w:val="00AE76FD"/>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B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27B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27B3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27B33"/>
    <w:rPr>
      <w:rFonts w:asciiTheme="minorHAnsi" w:eastAsiaTheme="minorEastAsia" w:hAnsiTheme="minorHAnsi" w:cstheme="minorBidi"/>
      <w:b/>
      <w:bCs/>
      <w:sz w:val="28"/>
      <w:szCs w:val="28"/>
    </w:rPr>
  </w:style>
  <w:style w:type="paragraph" w:styleId="NormalWeb">
    <w:name w:val="Normal (Web)"/>
    <w:basedOn w:val="Normal"/>
    <w:uiPriority w:val="99"/>
    <w:rsid w:val="00AE76FD"/>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13</Pages>
  <Words>2170</Words>
  <Characters>12372</Characters>
  <Application>Microsoft Office Outlook</Application>
  <DocSecurity>0</DocSecurity>
  <Lines>0</Lines>
  <Paragraphs>0</Paragraphs>
  <ScaleCrop>false</ScaleCrop>
  <Company>Packard Bell NEC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complete independence of the courts of justice is peculiarly essential in a limited Constitution</dc:title>
  <dc:subject/>
  <dc:creator>carlo padula</dc:creator>
  <cp:keywords/>
  <dc:description/>
  <cp:lastModifiedBy>docente</cp:lastModifiedBy>
  <cp:revision>2</cp:revision>
  <dcterms:created xsi:type="dcterms:W3CDTF">2015-03-05T10:05:00Z</dcterms:created>
  <dcterms:modified xsi:type="dcterms:W3CDTF">2015-03-05T10:05:00Z</dcterms:modified>
</cp:coreProperties>
</file>